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FF713" w14:textId="77777777" w:rsidR="00C94608" w:rsidRDefault="00C94608" w:rsidP="00C94608">
      <w:pPr>
        <w:spacing w:before="101" w:after="255"/>
        <w:rPr>
          <w:rFonts w:eastAsia="Cambria" w:cs="Arial"/>
          <w:color w:val="1F4E79" w:themeColor="accent5" w:themeShade="80"/>
          <w:sz w:val="40"/>
          <w:szCs w:val="40"/>
        </w:rPr>
      </w:pPr>
    </w:p>
    <w:p w14:paraId="13107CF3" w14:textId="360AE42A" w:rsidR="00C94608" w:rsidRDefault="00C94608" w:rsidP="00C94608">
      <w:pPr>
        <w:spacing w:before="101" w:after="255"/>
        <w:rPr>
          <w:rFonts w:eastAsia="Cambria" w:cs="Arial"/>
          <w:color w:val="1F4E79" w:themeColor="accent5" w:themeShade="80"/>
          <w:sz w:val="40"/>
          <w:szCs w:val="40"/>
        </w:rPr>
      </w:pPr>
      <w:r>
        <w:rPr>
          <w:rFonts w:eastAsia="Cambria" w:cs="Arial"/>
          <w:color w:val="1F4E79" w:themeColor="accent5" w:themeShade="80"/>
          <w:sz w:val="40"/>
          <w:szCs w:val="40"/>
        </w:rPr>
        <w:t>NÁRODNÍ PLÁN OBNOVY</w:t>
      </w:r>
    </w:p>
    <w:p w14:paraId="7A9621BC" w14:textId="77777777" w:rsidR="00C94608" w:rsidRDefault="00C94608" w:rsidP="00C94608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6C99109F" w14:textId="77777777" w:rsidR="00C94608" w:rsidRDefault="00C94608" w:rsidP="00C94608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471F902F" w14:textId="77777777" w:rsidR="00C94608" w:rsidRDefault="00C94608" w:rsidP="00C94608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OBECNÁ PRAVIDLA </w:t>
      </w:r>
    </w:p>
    <w:p w14:paraId="20EB2E9F" w14:textId="77777777" w:rsidR="00C94608" w:rsidRDefault="00C94608" w:rsidP="00C94608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PRO ŽADATELE A PŘÍJEMCE </w:t>
      </w:r>
    </w:p>
    <w:p w14:paraId="7968518A" w14:textId="77777777" w:rsidR="00C94608" w:rsidRPr="00953A5B" w:rsidRDefault="00C94608" w:rsidP="00C94608"/>
    <w:p w14:paraId="320D1BC9" w14:textId="77777777" w:rsidR="00C94608" w:rsidRDefault="00C94608" w:rsidP="00C94608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3BEFC337" w14:textId="77777777" w:rsidR="00C94608" w:rsidRDefault="00C94608" w:rsidP="00C94608">
      <w:pPr>
        <w:spacing w:after="255"/>
        <w:ind w:right="3725"/>
        <w:rPr>
          <w:rFonts w:eastAsia="Cambria" w:cs="Arial"/>
          <w:color w:val="A6A6A6" w:themeColor="background1" w:themeShade="A6"/>
          <w:sz w:val="36"/>
          <w:szCs w:val="36"/>
        </w:rPr>
      </w:pPr>
    </w:p>
    <w:p w14:paraId="7820DC9C" w14:textId="77777777" w:rsidR="00C94608" w:rsidRDefault="00C94608" w:rsidP="00C94608">
      <w:pPr>
        <w:rPr>
          <w:rFonts w:cs="Arial"/>
        </w:rPr>
      </w:pPr>
    </w:p>
    <w:p w14:paraId="1FBC3F64" w14:textId="77777777" w:rsidR="00C94608" w:rsidRDefault="00C94608" w:rsidP="00C94608">
      <w:pPr>
        <w:rPr>
          <w:rFonts w:cs="Arial"/>
        </w:rPr>
      </w:pPr>
    </w:p>
    <w:p w14:paraId="13D89667" w14:textId="77777777" w:rsidR="00C94608" w:rsidRDefault="00C94608" w:rsidP="00C94608">
      <w:pPr>
        <w:rPr>
          <w:rFonts w:cs="Arial"/>
        </w:rPr>
      </w:pPr>
    </w:p>
    <w:p w14:paraId="770EB44C" w14:textId="77777777" w:rsidR="00C94608" w:rsidRDefault="00C94608" w:rsidP="00C94608">
      <w:pPr>
        <w:rPr>
          <w:rFonts w:cs="Arial"/>
        </w:rPr>
      </w:pPr>
    </w:p>
    <w:p w14:paraId="0A27C15F" w14:textId="77777777" w:rsidR="00C94608" w:rsidRDefault="00C94608" w:rsidP="00C94608">
      <w:pPr>
        <w:rPr>
          <w:rFonts w:cs="Arial"/>
        </w:rPr>
      </w:pPr>
    </w:p>
    <w:p w14:paraId="3232136F" w14:textId="77777777" w:rsidR="00C94608" w:rsidRDefault="00C94608" w:rsidP="00C94608">
      <w:pPr>
        <w:rPr>
          <w:rFonts w:cs="Arial"/>
        </w:rPr>
      </w:pPr>
    </w:p>
    <w:p w14:paraId="46204C76" w14:textId="77777777" w:rsidR="00C94608" w:rsidRDefault="00C94608" w:rsidP="00C94608">
      <w:pPr>
        <w:spacing w:after="255"/>
        <w:ind w:right="3725"/>
        <w:rPr>
          <w:rFonts w:eastAsia="Cambria" w:cs="Arial"/>
          <w:color w:val="A6A6A6" w:themeColor="background1" w:themeShade="A6"/>
          <w:sz w:val="36"/>
          <w:szCs w:val="36"/>
        </w:rPr>
      </w:pPr>
      <w:r>
        <w:rPr>
          <w:rFonts w:eastAsia="Cambria" w:cs="Arial"/>
          <w:color w:val="A6A6A6" w:themeColor="background1" w:themeShade="A6"/>
          <w:sz w:val="36"/>
          <w:szCs w:val="36"/>
        </w:rPr>
        <w:t>Příloha č. 3a</w:t>
      </w:r>
    </w:p>
    <w:p w14:paraId="60221B1D" w14:textId="77777777" w:rsidR="00C94608" w:rsidRDefault="00C94608" w:rsidP="00C94608">
      <w:pPr>
        <w:pStyle w:val="Nzev"/>
        <w:ind w:left="0"/>
        <w:jc w:val="left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>M</w:t>
      </w:r>
      <w:r w:rsidRPr="004E7062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etodika </w:t>
      </w: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>DNSH</w:t>
      </w:r>
      <w:r w:rsidRPr="004E7062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 pro komponentu 6.1 a 6.2</w:t>
      </w:r>
    </w:p>
    <w:p w14:paraId="177715FB" w14:textId="77777777" w:rsidR="00C94608" w:rsidRDefault="00C94608" w:rsidP="00C94608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4E930DFB" w14:textId="77777777" w:rsidR="00C94608" w:rsidRDefault="00C94608" w:rsidP="00C94608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7A8C412E" w14:textId="77777777" w:rsidR="00C94608" w:rsidRDefault="00C94608" w:rsidP="00C94608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71AD6A3C" w14:textId="77777777" w:rsidR="00C94608" w:rsidRDefault="00C94608" w:rsidP="00C94608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24D168A0" w14:textId="77777777" w:rsidR="00C94608" w:rsidRDefault="00C94608" w:rsidP="00C94608">
      <w:pPr>
        <w:spacing w:after="255"/>
        <w:ind w:right="3725"/>
        <w:rPr>
          <w:rFonts w:eastAsia="Cambria" w:cs="Arial"/>
          <w:color w:val="A6A6A6" w:themeColor="background1" w:themeShade="A6"/>
          <w:sz w:val="36"/>
          <w:szCs w:val="36"/>
        </w:rPr>
      </w:pPr>
      <w:bookmarkStart w:id="0" w:name="_Hlk113455226"/>
      <w:r>
        <w:rPr>
          <w:rFonts w:eastAsia="Cambria" w:cs="Arial"/>
          <w:color w:val="A6A6A6" w:themeColor="background1" w:themeShade="A6"/>
          <w:sz w:val="36"/>
          <w:szCs w:val="36"/>
        </w:rPr>
        <w:t>Verze 1.0</w:t>
      </w:r>
    </w:p>
    <w:p w14:paraId="10C63510" w14:textId="636BB4FB" w:rsidR="00C94608" w:rsidRDefault="00C94608" w:rsidP="00C94608">
      <w:pPr>
        <w:spacing w:after="255"/>
        <w:ind w:right="3725"/>
        <w:rPr>
          <w:rFonts w:eastAsia="Cambria" w:cs="Arial"/>
          <w:color w:val="A6A6A6" w:themeColor="background1" w:themeShade="A6"/>
          <w:sz w:val="36"/>
          <w:szCs w:val="36"/>
        </w:rPr>
      </w:pPr>
      <w:r>
        <w:rPr>
          <w:rFonts w:eastAsia="Cambria" w:cs="Arial"/>
          <w:color w:val="A6A6A6" w:themeColor="background1" w:themeShade="A6"/>
          <w:sz w:val="36"/>
          <w:szCs w:val="36"/>
        </w:rPr>
        <w:t>Platnost od 21. 9. 2022</w:t>
      </w:r>
      <w:bookmarkEnd w:id="0"/>
      <w:r>
        <w:rPr>
          <w:rFonts w:eastAsia="Cambria" w:cs="Arial"/>
          <w:color w:val="A6A6A6" w:themeColor="background1" w:themeShade="A6"/>
          <w:sz w:val="36"/>
          <w:szCs w:val="36"/>
        </w:rPr>
        <w:br w:type="page"/>
      </w:r>
    </w:p>
    <w:sdt>
      <w:sdtPr>
        <w:rPr>
          <w:rFonts w:ascii="Arial" w:eastAsia="Times New Roman" w:hAnsi="Arial" w:cs="Times New Roman"/>
          <w:color w:val="000000"/>
          <w:sz w:val="22"/>
          <w:szCs w:val="24"/>
        </w:rPr>
        <w:id w:val="-25043766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5D5828A" w14:textId="6CE76A2F" w:rsidR="00C94608" w:rsidRDefault="00C94608">
          <w:pPr>
            <w:pStyle w:val="Nadpisobsahu"/>
          </w:pPr>
          <w:r>
            <w:t>Obsah</w:t>
          </w:r>
        </w:p>
        <w:p w14:paraId="0D2F08D4" w14:textId="06F539D2" w:rsidR="00C94608" w:rsidRDefault="00C94608">
          <w:pPr>
            <w:pStyle w:val="Obsah1"/>
            <w:tabs>
              <w:tab w:val="left" w:pos="440"/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3881584" w:history="1">
            <w:r w:rsidRPr="00A020C2">
              <w:rPr>
                <w:rStyle w:val="Hypertextovodkaz"/>
                <w:rFonts w:eastAsiaTheme="majorEastAsia"/>
                <w:noProof/>
              </w:rPr>
              <w:t>1.</w:t>
            </w:r>
            <w:r>
              <w:rPr>
                <w:noProof/>
              </w:rPr>
              <w:tab/>
            </w:r>
            <w:r w:rsidRPr="00A020C2">
              <w:rPr>
                <w:rStyle w:val="Hypertextovodkaz"/>
                <w:rFonts w:eastAsiaTheme="majorEastAsia"/>
                <w:noProof/>
              </w:rPr>
              <w:t>Úvod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_Toc113881584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2471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726895" w14:textId="5044E4B2" w:rsidR="00C94608" w:rsidRDefault="00324714">
          <w:pPr>
            <w:pStyle w:val="Obsah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113881585" w:history="1">
            <w:r w:rsidR="00C94608" w:rsidRPr="00A020C2">
              <w:rPr>
                <w:rStyle w:val="Hypertextovodkaz"/>
                <w:rFonts w:eastAsiaTheme="majorEastAsia"/>
                <w:noProof/>
              </w:rPr>
              <w:t>2.</w:t>
            </w:r>
            <w:r w:rsidR="00C94608">
              <w:rPr>
                <w:noProof/>
              </w:rPr>
              <w:tab/>
            </w:r>
            <w:r w:rsidR="00C94608" w:rsidRPr="00A020C2">
              <w:rPr>
                <w:rStyle w:val="Hypertextovodkaz"/>
                <w:rFonts w:eastAsiaTheme="majorEastAsia"/>
                <w:noProof/>
              </w:rPr>
              <w:t>Obecně o principu „do no significant harm“</w:t>
            </w:r>
            <w:r w:rsidR="00C94608">
              <w:rPr>
                <w:noProof/>
                <w:webHidden/>
              </w:rPr>
              <w:tab/>
            </w:r>
            <w:r w:rsidR="00C94608">
              <w:rPr>
                <w:noProof/>
                <w:webHidden/>
              </w:rPr>
              <w:fldChar w:fldCharType="begin"/>
            </w:r>
            <w:r w:rsidR="00C94608">
              <w:rPr>
                <w:noProof/>
                <w:webHidden/>
              </w:rPr>
              <w:instrText xml:space="preserve"> PAGEREF _Toc113881585 \h </w:instrText>
            </w:r>
            <w:r w:rsidR="00C94608">
              <w:rPr>
                <w:noProof/>
                <w:webHidden/>
              </w:rPr>
            </w:r>
            <w:r w:rsidR="00C9460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94608">
              <w:rPr>
                <w:noProof/>
                <w:webHidden/>
              </w:rPr>
              <w:fldChar w:fldCharType="end"/>
            </w:r>
          </w:hyperlink>
        </w:p>
        <w:p w14:paraId="2023057B" w14:textId="205C1DE1" w:rsidR="00C94608" w:rsidRDefault="00324714">
          <w:pPr>
            <w:pStyle w:val="Obsah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113881586" w:history="1">
            <w:r w:rsidR="00C94608" w:rsidRPr="00A020C2">
              <w:rPr>
                <w:rStyle w:val="Hypertextovodkaz"/>
                <w:rFonts w:eastAsiaTheme="majorEastAsia"/>
                <w:noProof/>
              </w:rPr>
              <w:t>3.</w:t>
            </w:r>
            <w:r w:rsidR="00C94608">
              <w:rPr>
                <w:noProof/>
              </w:rPr>
              <w:tab/>
            </w:r>
            <w:r w:rsidR="00C94608" w:rsidRPr="00A020C2">
              <w:rPr>
                <w:rStyle w:val="Hypertextovodkaz"/>
                <w:rFonts w:eastAsiaTheme="majorEastAsia"/>
                <w:noProof/>
              </w:rPr>
              <w:t>Legislativa</w:t>
            </w:r>
            <w:r w:rsidR="00C94608">
              <w:rPr>
                <w:noProof/>
                <w:webHidden/>
              </w:rPr>
              <w:tab/>
            </w:r>
            <w:r w:rsidR="00C94608">
              <w:rPr>
                <w:noProof/>
                <w:webHidden/>
              </w:rPr>
              <w:fldChar w:fldCharType="begin"/>
            </w:r>
            <w:r w:rsidR="00C94608">
              <w:rPr>
                <w:noProof/>
                <w:webHidden/>
              </w:rPr>
              <w:instrText xml:space="preserve"> PAGEREF _Toc113881586 \h </w:instrText>
            </w:r>
            <w:r w:rsidR="00C94608">
              <w:rPr>
                <w:noProof/>
                <w:webHidden/>
              </w:rPr>
            </w:r>
            <w:r w:rsidR="00C9460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94608">
              <w:rPr>
                <w:noProof/>
                <w:webHidden/>
              </w:rPr>
              <w:fldChar w:fldCharType="end"/>
            </w:r>
          </w:hyperlink>
        </w:p>
        <w:p w14:paraId="7A9601FE" w14:textId="5741990C" w:rsidR="00C94608" w:rsidRDefault="00324714">
          <w:pPr>
            <w:pStyle w:val="Obsah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113881587" w:history="1">
            <w:r w:rsidR="00C94608" w:rsidRPr="00A020C2">
              <w:rPr>
                <w:rStyle w:val="Hypertextovodkaz"/>
                <w:rFonts w:eastAsiaTheme="majorEastAsia"/>
                <w:noProof/>
              </w:rPr>
              <w:t>4.</w:t>
            </w:r>
            <w:r w:rsidR="00C94608">
              <w:rPr>
                <w:noProof/>
              </w:rPr>
              <w:tab/>
            </w:r>
            <w:r w:rsidR="00C94608" w:rsidRPr="00A020C2">
              <w:rPr>
                <w:rStyle w:val="Hypertextovodkaz"/>
                <w:rFonts w:eastAsiaTheme="majorEastAsia"/>
                <w:noProof/>
              </w:rPr>
              <w:t>Identifikace podmínek DNSH</w:t>
            </w:r>
            <w:r w:rsidR="00C94608">
              <w:rPr>
                <w:noProof/>
                <w:webHidden/>
              </w:rPr>
              <w:tab/>
            </w:r>
            <w:r w:rsidR="00C94608">
              <w:rPr>
                <w:noProof/>
                <w:webHidden/>
              </w:rPr>
              <w:fldChar w:fldCharType="begin"/>
            </w:r>
            <w:r w:rsidR="00C94608">
              <w:rPr>
                <w:noProof/>
                <w:webHidden/>
              </w:rPr>
              <w:instrText xml:space="preserve"> PAGEREF _Toc113881587 \h </w:instrText>
            </w:r>
            <w:r w:rsidR="00C94608">
              <w:rPr>
                <w:noProof/>
                <w:webHidden/>
              </w:rPr>
            </w:r>
            <w:r w:rsidR="00C9460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94608">
              <w:rPr>
                <w:noProof/>
                <w:webHidden/>
              </w:rPr>
              <w:fldChar w:fldCharType="end"/>
            </w:r>
          </w:hyperlink>
        </w:p>
        <w:p w14:paraId="67D763F5" w14:textId="471C43CD" w:rsidR="00C94608" w:rsidRDefault="00324714">
          <w:pPr>
            <w:pStyle w:val="Obsah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13881588" w:history="1">
            <w:r w:rsidR="00C94608" w:rsidRPr="00A020C2">
              <w:rPr>
                <w:rStyle w:val="Hypertextovodkaz"/>
                <w:rFonts w:eastAsiaTheme="majorEastAsia"/>
                <w:noProof/>
              </w:rPr>
              <w:t>4.1</w:t>
            </w:r>
            <w:r w:rsidR="00C94608">
              <w:rPr>
                <w:noProof/>
              </w:rPr>
              <w:tab/>
            </w:r>
            <w:r w:rsidR="00C94608" w:rsidRPr="00A020C2">
              <w:rPr>
                <w:rStyle w:val="Hypertextovodkaz"/>
                <w:rFonts w:eastAsiaTheme="majorEastAsia"/>
                <w:noProof/>
              </w:rPr>
              <w:t>Specifické podmínky stanovené metodikou pro sledování klimatu</w:t>
            </w:r>
            <w:r w:rsidR="00C94608">
              <w:rPr>
                <w:noProof/>
                <w:webHidden/>
              </w:rPr>
              <w:tab/>
            </w:r>
            <w:r w:rsidR="00C94608">
              <w:rPr>
                <w:noProof/>
                <w:webHidden/>
              </w:rPr>
              <w:fldChar w:fldCharType="begin"/>
            </w:r>
            <w:r w:rsidR="00C94608">
              <w:rPr>
                <w:noProof/>
                <w:webHidden/>
              </w:rPr>
              <w:instrText xml:space="preserve"> PAGEREF _Toc113881588 \h </w:instrText>
            </w:r>
            <w:r w:rsidR="00C94608">
              <w:rPr>
                <w:noProof/>
                <w:webHidden/>
              </w:rPr>
            </w:r>
            <w:r w:rsidR="00C9460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94608">
              <w:rPr>
                <w:noProof/>
                <w:webHidden/>
              </w:rPr>
              <w:fldChar w:fldCharType="end"/>
            </w:r>
          </w:hyperlink>
        </w:p>
        <w:p w14:paraId="4D22A36B" w14:textId="076C0805" w:rsidR="00C94608" w:rsidRDefault="00324714">
          <w:pPr>
            <w:pStyle w:val="Obsah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13881589" w:history="1">
            <w:r w:rsidR="00C94608" w:rsidRPr="00A020C2">
              <w:rPr>
                <w:rStyle w:val="Hypertextovodkaz"/>
                <w:rFonts w:eastAsiaTheme="majorEastAsia"/>
                <w:noProof/>
              </w:rPr>
              <w:t>4.2</w:t>
            </w:r>
            <w:r w:rsidR="00C94608">
              <w:rPr>
                <w:noProof/>
              </w:rPr>
              <w:tab/>
            </w:r>
            <w:r w:rsidR="00C94608" w:rsidRPr="00A020C2">
              <w:rPr>
                <w:rStyle w:val="Hypertextovodkaz"/>
                <w:rFonts w:eastAsiaTheme="majorEastAsia"/>
                <w:noProof/>
              </w:rPr>
              <w:t>Vybrané podmínky self-assessmentu a jejich implementace</w:t>
            </w:r>
            <w:r w:rsidR="00C94608">
              <w:rPr>
                <w:noProof/>
                <w:webHidden/>
              </w:rPr>
              <w:tab/>
            </w:r>
            <w:r w:rsidR="00C94608">
              <w:rPr>
                <w:noProof/>
                <w:webHidden/>
              </w:rPr>
              <w:fldChar w:fldCharType="begin"/>
            </w:r>
            <w:r w:rsidR="00C94608">
              <w:rPr>
                <w:noProof/>
                <w:webHidden/>
              </w:rPr>
              <w:instrText xml:space="preserve"> PAGEREF _Toc113881589 \h </w:instrText>
            </w:r>
            <w:r w:rsidR="00C94608">
              <w:rPr>
                <w:noProof/>
                <w:webHidden/>
              </w:rPr>
            </w:r>
            <w:r w:rsidR="00C9460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94608">
              <w:rPr>
                <w:noProof/>
                <w:webHidden/>
              </w:rPr>
              <w:fldChar w:fldCharType="end"/>
            </w:r>
          </w:hyperlink>
        </w:p>
        <w:p w14:paraId="44E40B8C" w14:textId="3E15A55C" w:rsidR="00C94608" w:rsidRDefault="00324714">
          <w:pPr>
            <w:pStyle w:val="Obsah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113881590" w:history="1">
            <w:r w:rsidR="00C94608" w:rsidRPr="00A020C2">
              <w:rPr>
                <w:rStyle w:val="Hypertextovodkaz"/>
                <w:rFonts w:eastAsiaTheme="majorEastAsia"/>
                <w:noProof/>
              </w:rPr>
              <w:t>5.</w:t>
            </w:r>
            <w:r w:rsidR="00C94608">
              <w:rPr>
                <w:noProof/>
              </w:rPr>
              <w:tab/>
            </w:r>
            <w:r w:rsidR="00C94608" w:rsidRPr="00A020C2">
              <w:rPr>
                <w:rStyle w:val="Hypertextovodkaz"/>
                <w:rFonts w:eastAsiaTheme="majorEastAsia"/>
                <w:noProof/>
              </w:rPr>
              <w:t>Technické parametry budov – výstavba/renovace</w:t>
            </w:r>
            <w:r w:rsidR="00C94608">
              <w:rPr>
                <w:noProof/>
                <w:webHidden/>
              </w:rPr>
              <w:tab/>
            </w:r>
            <w:r w:rsidR="00C94608">
              <w:rPr>
                <w:noProof/>
                <w:webHidden/>
              </w:rPr>
              <w:fldChar w:fldCharType="begin"/>
            </w:r>
            <w:r w:rsidR="00C94608">
              <w:rPr>
                <w:noProof/>
                <w:webHidden/>
              </w:rPr>
              <w:instrText xml:space="preserve"> PAGEREF _Toc113881590 \h </w:instrText>
            </w:r>
            <w:r w:rsidR="00C94608">
              <w:rPr>
                <w:noProof/>
                <w:webHidden/>
              </w:rPr>
            </w:r>
            <w:r w:rsidR="00C9460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94608">
              <w:rPr>
                <w:noProof/>
                <w:webHidden/>
              </w:rPr>
              <w:fldChar w:fldCharType="end"/>
            </w:r>
          </w:hyperlink>
        </w:p>
        <w:p w14:paraId="7B9BE53A" w14:textId="33B32B4C" w:rsidR="00C94608" w:rsidRDefault="00324714">
          <w:pPr>
            <w:pStyle w:val="Obsah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13881591" w:history="1">
            <w:r w:rsidR="00C94608" w:rsidRPr="00A020C2">
              <w:rPr>
                <w:rStyle w:val="Hypertextovodkaz"/>
                <w:rFonts w:eastAsiaTheme="majorEastAsia"/>
                <w:noProof/>
              </w:rPr>
              <w:t>5.1</w:t>
            </w:r>
            <w:r w:rsidR="00C94608">
              <w:rPr>
                <w:noProof/>
              </w:rPr>
              <w:tab/>
            </w:r>
            <w:r w:rsidR="00C94608" w:rsidRPr="00A020C2">
              <w:rPr>
                <w:rStyle w:val="Hypertextovodkaz"/>
                <w:rFonts w:eastAsiaTheme="majorEastAsia"/>
                <w:noProof/>
              </w:rPr>
              <w:t>Výstavba budov – technická kritéria</w:t>
            </w:r>
            <w:r w:rsidR="00C94608">
              <w:rPr>
                <w:noProof/>
                <w:webHidden/>
              </w:rPr>
              <w:tab/>
            </w:r>
            <w:r w:rsidR="00C94608">
              <w:rPr>
                <w:noProof/>
                <w:webHidden/>
              </w:rPr>
              <w:fldChar w:fldCharType="begin"/>
            </w:r>
            <w:r w:rsidR="00C94608">
              <w:rPr>
                <w:noProof/>
                <w:webHidden/>
              </w:rPr>
              <w:instrText xml:space="preserve"> PAGEREF _Toc113881591 \h </w:instrText>
            </w:r>
            <w:r w:rsidR="00C94608">
              <w:rPr>
                <w:noProof/>
                <w:webHidden/>
              </w:rPr>
            </w:r>
            <w:r w:rsidR="00C9460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94608">
              <w:rPr>
                <w:noProof/>
                <w:webHidden/>
              </w:rPr>
              <w:fldChar w:fldCharType="end"/>
            </w:r>
          </w:hyperlink>
        </w:p>
        <w:p w14:paraId="26B5ED70" w14:textId="202F5F40" w:rsidR="00C94608" w:rsidRDefault="00324714">
          <w:pPr>
            <w:pStyle w:val="Obsah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13881592" w:history="1">
            <w:r w:rsidR="00C94608" w:rsidRPr="00A020C2">
              <w:rPr>
                <w:rStyle w:val="Hypertextovodkaz"/>
                <w:rFonts w:eastAsiaTheme="majorEastAsia"/>
                <w:noProof/>
              </w:rPr>
              <w:t>5.2</w:t>
            </w:r>
            <w:r w:rsidR="00C94608">
              <w:rPr>
                <w:noProof/>
              </w:rPr>
              <w:tab/>
            </w:r>
            <w:r w:rsidR="00C94608" w:rsidRPr="00A020C2">
              <w:rPr>
                <w:rStyle w:val="Hypertextovodkaz"/>
                <w:rFonts w:eastAsiaTheme="majorEastAsia"/>
                <w:noProof/>
              </w:rPr>
              <w:t>Renovace – technická kritéria</w:t>
            </w:r>
            <w:r w:rsidR="00C94608">
              <w:rPr>
                <w:noProof/>
                <w:webHidden/>
              </w:rPr>
              <w:tab/>
            </w:r>
            <w:r w:rsidR="00C94608">
              <w:rPr>
                <w:noProof/>
                <w:webHidden/>
              </w:rPr>
              <w:fldChar w:fldCharType="begin"/>
            </w:r>
            <w:r w:rsidR="00C94608">
              <w:rPr>
                <w:noProof/>
                <w:webHidden/>
              </w:rPr>
              <w:instrText xml:space="preserve"> PAGEREF _Toc113881592 \h </w:instrText>
            </w:r>
            <w:r w:rsidR="00C94608">
              <w:rPr>
                <w:noProof/>
                <w:webHidden/>
              </w:rPr>
            </w:r>
            <w:r w:rsidR="00C9460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94608">
              <w:rPr>
                <w:noProof/>
                <w:webHidden/>
              </w:rPr>
              <w:fldChar w:fldCharType="end"/>
            </w:r>
          </w:hyperlink>
        </w:p>
        <w:p w14:paraId="2C62B5D5" w14:textId="446EABAC" w:rsidR="00C94608" w:rsidRDefault="00324714">
          <w:pPr>
            <w:pStyle w:val="Obsah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113881593" w:history="1">
            <w:r w:rsidR="00C94608" w:rsidRPr="00A020C2">
              <w:rPr>
                <w:rStyle w:val="Hypertextovodkaz"/>
                <w:rFonts w:eastAsiaTheme="majorEastAsia"/>
                <w:noProof/>
              </w:rPr>
              <w:t>6.</w:t>
            </w:r>
            <w:r w:rsidR="00C94608">
              <w:rPr>
                <w:noProof/>
              </w:rPr>
              <w:tab/>
            </w:r>
            <w:r w:rsidR="00C94608" w:rsidRPr="00A020C2">
              <w:rPr>
                <w:rStyle w:val="Hypertextovodkaz"/>
                <w:rFonts w:eastAsiaTheme="majorEastAsia"/>
                <w:noProof/>
              </w:rPr>
              <w:t>Prokázání splnění podmínek DNSH</w:t>
            </w:r>
            <w:r w:rsidR="00C94608">
              <w:rPr>
                <w:noProof/>
                <w:webHidden/>
              </w:rPr>
              <w:tab/>
            </w:r>
            <w:r w:rsidR="00C94608">
              <w:rPr>
                <w:noProof/>
                <w:webHidden/>
              </w:rPr>
              <w:fldChar w:fldCharType="begin"/>
            </w:r>
            <w:r w:rsidR="00C94608">
              <w:rPr>
                <w:noProof/>
                <w:webHidden/>
              </w:rPr>
              <w:instrText xml:space="preserve"> PAGEREF _Toc113881593 \h </w:instrText>
            </w:r>
            <w:r w:rsidR="00C94608">
              <w:rPr>
                <w:noProof/>
                <w:webHidden/>
              </w:rPr>
            </w:r>
            <w:r w:rsidR="00C9460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94608">
              <w:rPr>
                <w:noProof/>
                <w:webHidden/>
              </w:rPr>
              <w:fldChar w:fldCharType="end"/>
            </w:r>
          </w:hyperlink>
        </w:p>
        <w:p w14:paraId="61E6858B" w14:textId="30FABBBF" w:rsidR="00C94608" w:rsidRDefault="00324714">
          <w:pPr>
            <w:pStyle w:val="Obsah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113881594" w:history="1">
            <w:r w:rsidR="00C94608" w:rsidRPr="00A020C2">
              <w:rPr>
                <w:rStyle w:val="Hypertextovodkaz"/>
                <w:rFonts w:eastAsiaTheme="majorEastAsia"/>
                <w:noProof/>
              </w:rPr>
              <w:t>7.</w:t>
            </w:r>
            <w:r w:rsidR="00C94608">
              <w:rPr>
                <w:noProof/>
              </w:rPr>
              <w:tab/>
            </w:r>
            <w:r w:rsidR="00C94608" w:rsidRPr="00A020C2">
              <w:rPr>
                <w:rStyle w:val="Hypertextovodkaz"/>
                <w:rFonts w:eastAsiaTheme="majorEastAsia"/>
                <w:noProof/>
              </w:rPr>
              <w:t>Shrnutí potřebné dokumentace k DNSH</w:t>
            </w:r>
            <w:r w:rsidR="00C94608">
              <w:rPr>
                <w:noProof/>
                <w:webHidden/>
              </w:rPr>
              <w:tab/>
            </w:r>
            <w:r w:rsidR="00C94608">
              <w:rPr>
                <w:noProof/>
                <w:webHidden/>
              </w:rPr>
              <w:fldChar w:fldCharType="begin"/>
            </w:r>
            <w:r w:rsidR="00C94608">
              <w:rPr>
                <w:noProof/>
                <w:webHidden/>
              </w:rPr>
              <w:instrText xml:space="preserve"> PAGEREF _Toc113881594 \h </w:instrText>
            </w:r>
            <w:r w:rsidR="00C94608">
              <w:rPr>
                <w:noProof/>
                <w:webHidden/>
              </w:rPr>
            </w:r>
            <w:r w:rsidR="00C9460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C94608">
              <w:rPr>
                <w:noProof/>
                <w:webHidden/>
              </w:rPr>
              <w:fldChar w:fldCharType="end"/>
            </w:r>
          </w:hyperlink>
        </w:p>
        <w:p w14:paraId="639E052D" w14:textId="4A6785E1" w:rsidR="00C94608" w:rsidRDefault="00324714">
          <w:pPr>
            <w:pStyle w:val="Obsah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113881595" w:history="1">
            <w:r w:rsidR="00C94608" w:rsidRPr="00A020C2">
              <w:rPr>
                <w:rStyle w:val="Hypertextovodkaz"/>
                <w:rFonts w:eastAsiaTheme="majorEastAsia"/>
                <w:noProof/>
              </w:rPr>
              <w:t>8.</w:t>
            </w:r>
            <w:r w:rsidR="00C94608">
              <w:rPr>
                <w:noProof/>
              </w:rPr>
              <w:tab/>
            </w:r>
            <w:r w:rsidR="00C94608" w:rsidRPr="00A020C2">
              <w:rPr>
                <w:rStyle w:val="Hypertextovodkaz"/>
                <w:rFonts w:eastAsiaTheme="majorEastAsia"/>
                <w:noProof/>
              </w:rPr>
              <w:t>Přílohy</w:t>
            </w:r>
            <w:r w:rsidR="00C94608">
              <w:rPr>
                <w:noProof/>
                <w:webHidden/>
              </w:rPr>
              <w:tab/>
            </w:r>
            <w:r w:rsidR="00C94608">
              <w:rPr>
                <w:noProof/>
                <w:webHidden/>
              </w:rPr>
              <w:fldChar w:fldCharType="begin"/>
            </w:r>
            <w:r w:rsidR="00C94608">
              <w:rPr>
                <w:noProof/>
                <w:webHidden/>
              </w:rPr>
              <w:instrText xml:space="preserve"> PAGEREF _Toc113881595 \h </w:instrText>
            </w:r>
            <w:r w:rsidR="00C94608">
              <w:rPr>
                <w:noProof/>
                <w:webHidden/>
              </w:rPr>
            </w:r>
            <w:r w:rsidR="00C9460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C94608">
              <w:rPr>
                <w:noProof/>
                <w:webHidden/>
              </w:rPr>
              <w:fldChar w:fldCharType="end"/>
            </w:r>
          </w:hyperlink>
        </w:p>
        <w:p w14:paraId="0AFDAD4C" w14:textId="4698BF15" w:rsidR="00C94608" w:rsidRDefault="00C94608">
          <w:r>
            <w:rPr>
              <w:b/>
              <w:bCs/>
            </w:rPr>
            <w:fldChar w:fldCharType="end"/>
          </w:r>
        </w:p>
      </w:sdtContent>
    </w:sdt>
    <w:p w14:paraId="3880BA6B" w14:textId="77777777" w:rsidR="00C94608" w:rsidRDefault="00C94608">
      <w:pPr>
        <w:spacing w:after="160" w:line="259" w:lineRule="auto"/>
        <w:jc w:val="left"/>
        <w:rPr>
          <w:rFonts w:eastAsiaTheme="majorEastAsia" w:cstheme="majorBidi"/>
          <w:b/>
          <w:color w:val="auto"/>
          <w:sz w:val="24"/>
          <w:szCs w:val="32"/>
        </w:rPr>
      </w:pPr>
      <w:bookmarkStart w:id="1" w:name="_Toc113880708"/>
      <w:bookmarkStart w:id="2" w:name="_Toc113881584"/>
      <w:r>
        <w:br w:type="page"/>
      </w:r>
    </w:p>
    <w:p w14:paraId="2C92B684" w14:textId="15AD6823" w:rsidR="00C94608" w:rsidRPr="00833710" w:rsidRDefault="00C94608" w:rsidP="00C94608">
      <w:pPr>
        <w:pStyle w:val="Nadpis1"/>
      </w:pPr>
      <w:r>
        <w:lastRenderedPageBreak/>
        <w:t>Úvod</w:t>
      </w:r>
      <w:bookmarkEnd w:id="1"/>
      <w:bookmarkEnd w:id="2"/>
    </w:p>
    <w:p w14:paraId="1370A891" w14:textId="77777777" w:rsidR="00C94608" w:rsidRPr="00CF6800" w:rsidRDefault="00C94608" w:rsidP="00C94608">
      <w:pPr>
        <w:spacing w:before="240"/>
      </w:pPr>
      <w:r w:rsidRPr="00CF6800">
        <w:t xml:space="preserve">V rámci vyjednávání Národního plánu obnovy (dále jen „NPO“) s Evropskou komisí byly stanoveny podmínky, které musí příjemce plnit, aby byly vykázané finanční prostředky schváleny jako uznatelné. Níže stanovené podmínky souvisí se zásadou „do no </w:t>
      </w:r>
      <w:proofErr w:type="spellStart"/>
      <w:r w:rsidRPr="00CF6800">
        <w:t>significant</w:t>
      </w:r>
      <w:proofErr w:type="spellEnd"/>
      <w:r w:rsidRPr="00CF6800">
        <w:t xml:space="preserve"> </w:t>
      </w:r>
      <w:proofErr w:type="spellStart"/>
      <w:r w:rsidRPr="00CF6800">
        <w:t>harm</w:t>
      </w:r>
      <w:proofErr w:type="spellEnd"/>
      <w:r w:rsidRPr="00CF6800">
        <w:t>“ a lze je vykázat v rámci reportování do reportovacího listu stanoveného Metodickým pokynem DNSH.</w:t>
      </w:r>
    </w:p>
    <w:p w14:paraId="63FF8882" w14:textId="77777777" w:rsidR="00C94608" w:rsidRDefault="00C94608" w:rsidP="00C94608">
      <w:r w:rsidRPr="00CF6800">
        <w:t>Dokument je zpracován jako závazná metodika pro žadatele a příjemce realizující projekty v</w:t>
      </w:r>
      <w:r>
        <w:t> </w:t>
      </w:r>
      <w:r w:rsidRPr="00CF6800">
        <w:t>rámci komponent 6.1 a 6.2 a reflektuje zásadu DNSH. Kapitola 1 přibližuje obecné informace o principu DNSH. Kapitola 2 popisuje legislativu vztahující se k DNSH. Kapitola 3 shrnuje specifické podmínky DNSH vycházející ze schválené dokumentace k NPO. Kapitola</w:t>
      </w:r>
      <w:r>
        <w:t> </w:t>
      </w:r>
      <w:r w:rsidRPr="00CF6800">
        <w:t>4 stanovuje technické parametry pro výstavbu a renovace. Kapitola 5 pak obsahuje zpřesnění dle strategických dokumentů EU a ČR, a platných zákonů ČR. Kapitola 6 specifikuje, jakými dokumenty prokazuje příjemce plnění DNSH. Přílohou dokumentu je vzor čestného prohlášení a reportovací list.</w:t>
      </w:r>
    </w:p>
    <w:p w14:paraId="5D24C827" w14:textId="77777777" w:rsidR="00C94608" w:rsidRPr="00F975E7" w:rsidRDefault="00C94608" w:rsidP="00C94608"/>
    <w:p w14:paraId="671F73B5" w14:textId="77777777" w:rsidR="00C94608" w:rsidRPr="00833710" w:rsidRDefault="00C94608" w:rsidP="00C94608">
      <w:pPr>
        <w:pStyle w:val="Nadpis1"/>
      </w:pPr>
      <w:bookmarkStart w:id="3" w:name="_Toc113880709"/>
      <w:bookmarkStart w:id="4" w:name="_Toc113881585"/>
      <w:r w:rsidRPr="00353E46">
        <w:t xml:space="preserve">Obecně o principu „do no </w:t>
      </w:r>
      <w:proofErr w:type="spellStart"/>
      <w:r w:rsidRPr="00353E46">
        <w:t>significant</w:t>
      </w:r>
      <w:proofErr w:type="spellEnd"/>
      <w:r w:rsidRPr="00353E46">
        <w:t xml:space="preserve"> </w:t>
      </w:r>
      <w:proofErr w:type="spellStart"/>
      <w:r w:rsidRPr="00353E46">
        <w:t>harm</w:t>
      </w:r>
      <w:proofErr w:type="spellEnd"/>
      <w:r w:rsidRPr="00353E46">
        <w:t>“</w:t>
      </w:r>
      <w:bookmarkEnd w:id="3"/>
      <w:bookmarkEnd w:id="4"/>
    </w:p>
    <w:p w14:paraId="3CA6C40A" w14:textId="77777777" w:rsidR="00C94608" w:rsidRPr="00CF6800" w:rsidRDefault="00C94608" w:rsidP="00C94608">
      <w:pPr>
        <w:spacing w:before="240"/>
      </w:pPr>
      <w:r w:rsidRPr="00CF6800">
        <w:t xml:space="preserve">Princip „do no </w:t>
      </w:r>
      <w:proofErr w:type="spellStart"/>
      <w:r w:rsidRPr="00CF6800">
        <w:t>significant</w:t>
      </w:r>
      <w:proofErr w:type="spellEnd"/>
      <w:r w:rsidRPr="00CF6800">
        <w:t xml:space="preserve"> </w:t>
      </w:r>
      <w:proofErr w:type="spellStart"/>
      <w:r w:rsidRPr="00CF6800">
        <w:t>harm</w:t>
      </w:r>
      <w:proofErr w:type="spellEnd"/>
      <w:r w:rsidRPr="00CF6800">
        <w:t>“ (dále jen „DNSH“) neboli „významně nepoškozovat“ je zásada, k jejímuž dodržování jsou komponenty a jednotlivá opatření (milníky a cíle) zavázány nařízením Evropského parlamentu a Rady (EU) č. 2021/241, kterým se zřizuje Nástroj pro oživení a odolnost. DNSH stanovuje, že žádné opatření v rámci NPO nepoškodí environmentální cíle ve smyslu čl. 17 Nařízení Evropského parlamentu a Rady (EU) č.</w:t>
      </w:r>
      <w:r>
        <w:t> </w:t>
      </w:r>
      <w:r w:rsidRPr="00CF6800">
        <w:t>2020/852 o zřízení rámce pro usnadnění udržitelných investic a o změně nařízení (EU) 2019/2088 (tzv. „Nařízení o Taxonomii“).</w:t>
      </w:r>
    </w:p>
    <w:p w14:paraId="64BB92F1" w14:textId="77777777" w:rsidR="00C94608" w:rsidRPr="00CF6800" w:rsidRDefault="00C94608" w:rsidP="00C94608">
      <w:r w:rsidRPr="00CF6800">
        <w:t>Činnosti, které budou v rámci obou opatření prováděny (tj. činnosti v rámci výstavby a</w:t>
      </w:r>
      <w:r>
        <w:t> </w:t>
      </w:r>
      <w:r w:rsidRPr="00CF6800">
        <w:t>renovace budov na úrovni projektu):</w:t>
      </w:r>
    </w:p>
    <w:p w14:paraId="0B010331" w14:textId="77777777" w:rsidR="00C94608" w:rsidRPr="00975B28" w:rsidRDefault="00C94608" w:rsidP="00C94608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75B28">
        <w:rPr>
          <w:rFonts w:ascii="Arial" w:hAnsi="Arial" w:cs="Arial"/>
        </w:rPr>
        <w:t>nesmí vést ke značným emisím skleníkových plynů (cíl zmírňování změny klimatu),</w:t>
      </w:r>
    </w:p>
    <w:p w14:paraId="40E427E5" w14:textId="77777777" w:rsidR="00C94608" w:rsidRPr="00975B28" w:rsidRDefault="00C94608" w:rsidP="00C94608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75B28">
        <w:rPr>
          <w:rFonts w:ascii="Arial" w:hAnsi="Arial" w:cs="Arial"/>
        </w:rPr>
        <w:t>nesmí vést k nárůstu nepříznivého dopadu stávajícího a budoucího klimatu na tuto činnost samotnou nebo na osoby, přírodu nebo aktiva (cíl přizpůsobení se změně klimatu),</w:t>
      </w:r>
    </w:p>
    <w:p w14:paraId="0BDB65C5" w14:textId="77777777" w:rsidR="00C94608" w:rsidRPr="00975B28" w:rsidRDefault="00C94608" w:rsidP="00C94608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75B28">
        <w:rPr>
          <w:rFonts w:ascii="Arial" w:hAnsi="Arial" w:cs="Arial"/>
        </w:rPr>
        <w:t>nesmí poškozovat dobrý ekologický potenciál vodních útvarů, včetně povrchových a</w:t>
      </w:r>
      <w:r>
        <w:rPr>
          <w:rFonts w:ascii="Arial" w:hAnsi="Arial" w:cs="Arial"/>
        </w:rPr>
        <w:t> </w:t>
      </w:r>
      <w:r w:rsidRPr="00975B28">
        <w:rPr>
          <w:rFonts w:ascii="Arial" w:hAnsi="Arial" w:cs="Arial"/>
        </w:rPr>
        <w:t>podzemních vod (nebo dobrý stav prostředí mořských vod) (cíl udržitelné využívání a</w:t>
      </w:r>
      <w:r>
        <w:rPr>
          <w:rFonts w:ascii="Arial" w:hAnsi="Arial" w:cs="Arial"/>
        </w:rPr>
        <w:t> </w:t>
      </w:r>
      <w:r w:rsidRPr="00975B28">
        <w:rPr>
          <w:rFonts w:ascii="Arial" w:hAnsi="Arial" w:cs="Arial"/>
        </w:rPr>
        <w:t>ochrana vodních a mořských zdrojů),</w:t>
      </w:r>
    </w:p>
    <w:p w14:paraId="7ADBE76B" w14:textId="77777777" w:rsidR="00C94608" w:rsidRPr="00975B28" w:rsidRDefault="00C94608" w:rsidP="00C94608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75B28">
        <w:rPr>
          <w:rFonts w:ascii="Arial" w:hAnsi="Arial" w:cs="Arial"/>
        </w:rPr>
        <w:t>nesmí vést k významné nehospodárnosti v používání materiálů nebo v přímém a</w:t>
      </w:r>
      <w:r>
        <w:rPr>
          <w:rFonts w:ascii="Arial" w:hAnsi="Arial" w:cs="Arial"/>
        </w:rPr>
        <w:t> </w:t>
      </w:r>
      <w:r w:rsidRPr="00975B28">
        <w:rPr>
          <w:rFonts w:ascii="Arial" w:hAnsi="Arial" w:cs="Arial"/>
        </w:rPr>
        <w:t>nepřímém využívání přírodních zdrojů, nebo nesmí významně přispívat ke vzniku, spalování nebo odstraňování odpadu, které může způsobit významné a dlouhodobé škody na životním prostředí (cíl přechod na oběhové hospodářství),</w:t>
      </w:r>
    </w:p>
    <w:p w14:paraId="6149DE31" w14:textId="77777777" w:rsidR="00C94608" w:rsidRPr="00975B28" w:rsidRDefault="00C94608" w:rsidP="00C94608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75B28">
        <w:rPr>
          <w:rFonts w:ascii="Arial" w:hAnsi="Arial" w:cs="Arial"/>
        </w:rPr>
        <w:t>nesmí významně zvýšit emise znečišťujících látek do ovzduší, vody, nebo krajiny ve</w:t>
      </w:r>
      <w:r>
        <w:rPr>
          <w:rFonts w:ascii="Arial" w:hAnsi="Arial" w:cs="Arial"/>
        </w:rPr>
        <w:t> </w:t>
      </w:r>
      <w:r w:rsidRPr="00975B28">
        <w:rPr>
          <w:rFonts w:ascii="Arial" w:hAnsi="Arial" w:cs="Arial"/>
        </w:rPr>
        <w:t>srovnání se situací před zahájením činnosti (cíl prevence a omezování znečištění),</w:t>
      </w:r>
    </w:p>
    <w:p w14:paraId="69DDF469" w14:textId="77777777" w:rsidR="00C94608" w:rsidRDefault="00C94608" w:rsidP="00C94608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75B28">
        <w:rPr>
          <w:rFonts w:ascii="Arial" w:hAnsi="Arial" w:cs="Arial"/>
        </w:rPr>
        <w:lastRenderedPageBreak/>
        <w:t>nesmí poškozovat dobrý stav a odolnost ekosystémů nebo poškozovat stav stanovišť a druhů z hlediska jejich ochrany, a to včetně těch, které jsou v zájmu Evropské Unie (cíl ochrana a obnova biologické rozmanitosti a ekosystémů).</w:t>
      </w:r>
    </w:p>
    <w:p w14:paraId="02F64E98" w14:textId="77777777" w:rsidR="00C94608" w:rsidRDefault="00C94608" w:rsidP="00C94608">
      <w:pPr>
        <w:rPr>
          <w:rFonts w:cs="Arial"/>
        </w:rPr>
      </w:pPr>
      <w:r>
        <w:rPr>
          <w:rFonts w:cs="Arial"/>
        </w:rPr>
        <w:t>Příjemce svůj úmysl dodržet uvedené principy potvrdí podpisem čestného prohlášení (příloha č. 1), které předloží v rámci žádosti o poskytnutí dotace.</w:t>
      </w:r>
    </w:p>
    <w:p w14:paraId="3E31C6A8" w14:textId="77777777" w:rsidR="00C94608" w:rsidRPr="00833710" w:rsidRDefault="00C94608" w:rsidP="00C94608">
      <w:pPr>
        <w:rPr>
          <w:rFonts w:cs="Arial"/>
        </w:rPr>
      </w:pPr>
    </w:p>
    <w:p w14:paraId="169EDFAC" w14:textId="77777777" w:rsidR="00C94608" w:rsidRDefault="00C94608" w:rsidP="00C94608">
      <w:pPr>
        <w:pStyle w:val="Nadpis1"/>
      </w:pPr>
      <w:bookmarkStart w:id="5" w:name="_Toc113880710"/>
      <w:bookmarkStart w:id="6" w:name="_Toc113881586"/>
      <w:r w:rsidRPr="00353E46">
        <w:t>Legislativa</w:t>
      </w:r>
      <w:bookmarkEnd w:id="5"/>
      <w:bookmarkEnd w:id="6"/>
    </w:p>
    <w:p w14:paraId="67F77C49" w14:textId="77777777" w:rsidR="00C94608" w:rsidRPr="00975B28" w:rsidRDefault="00C94608" w:rsidP="00C94608"/>
    <w:p w14:paraId="1C67DC35" w14:textId="77777777" w:rsidR="00C94608" w:rsidRPr="00975B28" w:rsidRDefault="00C94608" w:rsidP="00C94608">
      <w:pPr>
        <w:pStyle w:val="Odstavecseseznamem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975B28">
        <w:rPr>
          <w:rFonts w:ascii="Arial" w:hAnsi="Arial" w:cs="Arial"/>
        </w:rPr>
        <w:t>Zákon č. 406/2000 Sb., o hospodaření energií</w:t>
      </w:r>
    </w:p>
    <w:p w14:paraId="57778F01" w14:textId="77777777" w:rsidR="00C94608" w:rsidRPr="00975B28" w:rsidRDefault="00C94608" w:rsidP="00C94608">
      <w:pPr>
        <w:pStyle w:val="Odstavecseseznamem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975B28">
        <w:rPr>
          <w:rFonts w:ascii="Arial" w:hAnsi="Arial" w:cs="Arial"/>
        </w:rPr>
        <w:t>Vyhláška č. 264/2020 Sb., o energetické náročnosti budov</w:t>
      </w:r>
    </w:p>
    <w:p w14:paraId="20B60A95" w14:textId="77777777" w:rsidR="00C94608" w:rsidRPr="00975B28" w:rsidRDefault="00C94608" w:rsidP="00C94608">
      <w:pPr>
        <w:pStyle w:val="Odstavecseseznamem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975B28">
        <w:rPr>
          <w:rFonts w:ascii="Arial" w:hAnsi="Arial" w:cs="Arial"/>
        </w:rPr>
        <w:t xml:space="preserve">Zákon č. 114/1992 Sb., o ochraně přírody a krajiny </w:t>
      </w:r>
    </w:p>
    <w:p w14:paraId="02C0BB38" w14:textId="77777777" w:rsidR="00C94608" w:rsidRPr="00975B28" w:rsidRDefault="00C94608" w:rsidP="00C94608">
      <w:pPr>
        <w:pStyle w:val="Odstavecseseznamem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975B28">
        <w:rPr>
          <w:rFonts w:ascii="Arial" w:hAnsi="Arial" w:cs="Arial"/>
        </w:rPr>
        <w:t xml:space="preserve">Zákon č. 100/2001 Sb., o posuzování vlivů na životní prostředí </w:t>
      </w:r>
    </w:p>
    <w:p w14:paraId="36DAF297" w14:textId="77777777" w:rsidR="00C94608" w:rsidRPr="00975B28" w:rsidRDefault="00C94608" w:rsidP="00C94608">
      <w:pPr>
        <w:pStyle w:val="Odstavecseseznamem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975B28">
        <w:rPr>
          <w:rFonts w:ascii="Arial" w:hAnsi="Arial" w:cs="Arial"/>
        </w:rPr>
        <w:t>Zákon č. 254/2001 Sb., Vodní zákon</w:t>
      </w:r>
    </w:p>
    <w:p w14:paraId="08995AE3" w14:textId="77777777" w:rsidR="00C94608" w:rsidRPr="00975B28" w:rsidRDefault="00C94608" w:rsidP="00C94608">
      <w:pPr>
        <w:pStyle w:val="Odstavecseseznamem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975B28">
        <w:rPr>
          <w:rFonts w:ascii="Arial" w:hAnsi="Arial" w:cs="Arial"/>
        </w:rPr>
        <w:t>Zákon č. 274/2001 Sb., o vodovodech a kanalizacích</w:t>
      </w:r>
    </w:p>
    <w:p w14:paraId="7E405A47" w14:textId="77777777" w:rsidR="00C94608" w:rsidRPr="00975B28" w:rsidRDefault="00C94608" w:rsidP="00C94608">
      <w:pPr>
        <w:pStyle w:val="Odstavecseseznamem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975B28">
        <w:rPr>
          <w:rFonts w:ascii="Arial" w:hAnsi="Arial" w:cs="Arial"/>
        </w:rPr>
        <w:t>Zákon č. 258/2000 Sb., o ochraně veřejného zdraví</w:t>
      </w:r>
    </w:p>
    <w:p w14:paraId="05D44F41" w14:textId="77777777" w:rsidR="00C94608" w:rsidRPr="00975B28" w:rsidRDefault="00C94608" w:rsidP="00C94608">
      <w:pPr>
        <w:pStyle w:val="Odstavecseseznamem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975B28">
        <w:rPr>
          <w:rFonts w:ascii="Arial" w:hAnsi="Arial" w:cs="Arial"/>
        </w:rPr>
        <w:t>Zákon č. 201/2012 Sb., o ochraně ovzduší</w:t>
      </w:r>
    </w:p>
    <w:p w14:paraId="3CF13506" w14:textId="77777777" w:rsidR="00C94608" w:rsidRPr="00975B28" w:rsidRDefault="00C94608" w:rsidP="00C94608">
      <w:pPr>
        <w:pStyle w:val="Odstavecseseznamem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975B28">
        <w:rPr>
          <w:rFonts w:ascii="Arial" w:hAnsi="Arial" w:cs="Arial"/>
        </w:rPr>
        <w:t>Nařízení vlády č. 145/2008 Sb., seznam znečišťujících látek, prahových hodnot a</w:t>
      </w:r>
      <w:r>
        <w:rPr>
          <w:rFonts w:ascii="Arial" w:hAnsi="Arial" w:cs="Arial"/>
        </w:rPr>
        <w:t> </w:t>
      </w:r>
      <w:r w:rsidRPr="00975B28">
        <w:rPr>
          <w:rFonts w:ascii="Arial" w:hAnsi="Arial" w:cs="Arial"/>
        </w:rPr>
        <w:t xml:space="preserve">údaje potřebné pro ohlašování do integrovaného registru </w:t>
      </w:r>
    </w:p>
    <w:p w14:paraId="0C8BFACE" w14:textId="77777777" w:rsidR="00C94608" w:rsidRPr="00975B28" w:rsidRDefault="00C94608" w:rsidP="00C94608">
      <w:pPr>
        <w:pStyle w:val="Odstavecseseznamem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975B28">
        <w:rPr>
          <w:rFonts w:ascii="Arial" w:hAnsi="Arial" w:cs="Arial"/>
        </w:rPr>
        <w:t>Směrnice 2008/98/ES, o odpadech, ve znění směrnice EU 2018/851</w:t>
      </w:r>
    </w:p>
    <w:p w14:paraId="71215938" w14:textId="77777777" w:rsidR="00C94608" w:rsidRPr="00975B28" w:rsidRDefault="00C94608" w:rsidP="00C94608">
      <w:pPr>
        <w:pStyle w:val="Odstavecseseznamem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975B28">
        <w:rPr>
          <w:rFonts w:ascii="Arial" w:hAnsi="Arial" w:cs="Arial"/>
        </w:rPr>
        <w:t xml:space="preserve">Zákon č. 541/2020 Sb., o odpadech </w:t>
      </w:r>
    </w:p>
    <w:p w14:paraId="2768B5E0" w14:textId="77777777" w:rsidR="00C94608" w:rsidRPr="00975B28" w:rsidRDefault="00C94608" w:rsidP="00C94608">
      <w:pPr>
        <w:pStyle w:val="Odstavecseseznamem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975B28">
        <w:rPr>
          <w:rFonts w:ascii="Arial" w:hAnsi="Arial" w:cs="Arial"/>
        </w:rPr>
        <w:t>Vyhláška č. 8/2021 Sb. o Katalogu odpadů a posuzování vlastností odpadů</w:t>
      </w:r>
    </w:p>
    <w:p w14:paraId="77162804" w14:textId="77777777" w:rsidR="00C94608" w:rsidRPr="00975B28" w:rsidRDefault="00C94608" w:rsidP="00C94608">
      <w:pPr>
        <w:pStyle w:val="Odstavecseseznamem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975B28">
        <w:rPr>
          <w:rFonts w:ascii="Arial" w:hAnsi="Arial" w:cs="Arial"/>
        </w:rPr>
        <w:t>Zákon č. 183/2006 Sb., o územním plánování a stavebním řádu (stavební zákon) - zejména § 128 (Povolení odstranění stavby, terénních úprav a zařízení)</w:t>
      </w:r>
    </w:p>
    <w:p w14:paraId="280A12E5" w14:textId="77777777" w:rsidR="00C94608" w:rsidRPr="00975B28" w:rsidRDefault="00C94608" w:rsidP="00C94608">
      <w:pPr>
        <w:pStyle w:val="Odstavecseseznamem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975B28">
        <w:rPr>
          <w:rFonts w:ascii="Arial" w:hAnsi="Arial" w:cs="Arial"/>
        </w:rPr>
        <w:t>Vyhláška č. 499/2006 Sb., o dokumentaci staveb</w:t>
      </w:r>
    </w:p>
    <w:p w14:paraId="2583B555" w14:textId="77777777" w:rsidR="00C94608" w:rsidRPr="00975B28" w:rsidRDefault="00C94608" w:rsidP="00C94608">
      <w:pPr>
        <w:pStyle w:val="Odstavecseseznamem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975B28">
        <w:rPr>
          <w:rFonts w:ascii="Arial" w:hAnsi="Arial" w:cs="Arial"/>
        </w:rPr>
        <w:t>Vyhláška č. 273/2021 Sb., o podrobnostech nakládání s odpady – zejména § 42 a</w:t>
      </w:r>
      <w:r>
        <w:rPr>
          <w:rFonts w:ascii="Arial" w:hAnsi="Arial" w:cs="Arial"/>
        </w:rPr>
        <w:t> </w:t>
      </w:r>
      <w:r w:rsidRPr="00975B28">
        <w:rPr>
          <w:rFonts w:ascii="Arial" w:hAnsi="Arial" w:cs="Arial"/>
        </w:rPr>
        <w:t>příloha č. 24.</w:t>
      </w:r>
    </w:p>
    <w:p w14:paraId="48D04510" w14:textId="77777777" w:rsidR="00C94608" w:rsidRDefault="00C94608" w:rsidP="00C94608">
      <w:pPr>
        <w:pStyle w:val="Odstavecseseznamem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975B28">
        <w:rPr>
          <w:rFonts w:ascii="Arial" w:hAnsi="Arial" w:cs="Arial"/>
        </w:rPr>
        <w:t>Protokol EU o nakládání se stavebními a demoličními opady</w:t>
      </w:r>
    </w:p>
    <w:p w14:paraId="78F63FB7" w14:textId="77777777" w:rsidR="00C94608" w:rsidRPr="00975B28" w:rsidRDefault="00C94608" w:rsidP="00C94608">
      <w:pPr>
        <w:pStyle w:val="Odstavecseseznamem"/>
        <w:spacing w:line="276" w:lineRule="auto"/>
        <w:rPr>
          <w:rFonts w:ascii="Arial" w:hAnsi="Arial" w:cs="Arial"/>
        </w:rPr>
      </w:pPr>
    </w:p>
    <w:p w14:paraId="19F74592" w14:textId="77777777" w:rsidR="00C94608" w:rsidRDefault="00C94608" w:rsidP="00C94608">
      <w:pPr>
        <w:pStyle w:val="Nadpis1"/>
      </w:pPr>
      <w:bookmarkStart w:id="7" w:name="_Toc113880711"/>
      <w:bookmarkStart w:id="8" w:name="_Toc113881587"/>
      <w:r w:rsidRPr="00353E46">
        <w:t>Identifikace podmínek DNSH</w:t>
      </w:r>
      <w:bookmarkEnd w:id="7"/>
      <w:bookmarkEnd w:id="8"/>
    </w:p>
    <w:p w14:paraId="3E34AFB5" w14:textId="77777777" w:rsidR="00C94608" w:rsidRPr="00975B28" w:rsidRDefault="00C94608" w:rsidP="00C94608"/>
    <w:p w14:paraId="0645790A" w14:textId="77777777" w:rsidR="00C94608" w:rsidRDefault="00C94608" w:rsidP="00C94608">
      <w:pPr>
        <w:pStyle w:val="Nadpis2"/>
      </w:pPr>
      <w:bookmarkStart w:id="9" w:name="_Toc107393360"/>
      <w:bookmarkStart w:id="10" w:name="_Toc113880712"/>
      <w:bookmarkStart w:id="11" w:name="_Toc113881588"/>
      <w:r w:rsidRPr="00353E46">
        <w:t xml:space="preserve">Specifické </w:t>
      </w:r>
      <w:r w:rsidRPr="006021A8">
        <w:t>podmínky</w:t>
      </w:r>
      <w:r w:rsidRPr="00353E46">
        <w:t xml:space="preserve"> stanovené metodikou pro sledování klimatu</w:t>
      </w:r>
      <w:bookmarkEnd w:id="9"/>
      <w:bookmarkEnd w:id="10"/>
      <w:bookmarkEnd w:id="11"/>
    </w:p>
    <w:p w14:paraId="324136A5" w14:textId="77777777" w:rsidR="00C94608" w:rsidRDefault="00C94608" w:rsidP="00C94608">
      <w:pPr>
        <w:spacing w:before="240"/>
      </w:pPr>
      <w:r>
        <w:t xml:space="preserve">Evropská komise stanovila metodiku pro sledování klimatu, v rámci, níž se vlastníci komponent a implementační subjekty přihlásili k oblastem intervence a jednotlivým kódům, </w:t>
      </w:r>
      <w:r>
        <w:lastRenderedPageBreak/>
        <w:t>které generují specifické podmínky. Tyto podmínky souvisí jak s klimatickými, tak enviromentálními cíli DNSH.</w:t>
      </w:r>
    </w:p>
    <w:p w14:paraId="0ADA32C2" w14:textId="77777777" w:rsidR="00C94608" w:rsidRDefault="00C94608" w:rsidP="00C94608">
      <w:r>
        <w:t xml:space="preserve">V případě výstavby nových budov musí </w:t>
      </w:r>
      <w:r w:rsidRPr="00A66947">
        <w:t>každá nová energeticky</w:t>
      </w:r>
      <w:r>
        <w:t xml:space="preserve"> účinná budova, která spadá do kategorie Zdravotní infrastruktury dle nástroje pro oživení a odolnosti</w:t>
      </w:r>
      <w:r>
        <w:rPr>
          <w:rStyle w:val="Znakapoznpodarou"/>
          <w:rFonts w:eastAsiaTheme="majorEastAsia"/>
        </w:rPr>
        <w:footnoteReference w:id="1"/>
      </w:r>
      <w:r>
        <w:t>, splňovat alespoň o 20 % nižší spotřebu primární energie (PED), než je požadavek na budovy s téměř nulovou spotřebou energie (novostavba odpovídá klasifikační třídě A – mimořádně úsporná v grafické části PENB).</w:t>
      </w:r>
    </w:p>
    <w:p w14:paraId="6FD9F5A5" w14:textId="77777777" w:rsidR="00C94608" w:rsidRDefault="00C94608" w:rsidP="00C94608">
      <w:r>
        <w:t>Při renovacích budov, které spadají do kategorie Zdravotní infrastruktury dle nástroje pro oživení a odolnost, je cílem snížit produkování přímých a nepřímých skleníkových plynů v průměru alespoň o 30 % v porovnání s předchozími emisemi vyjma budov s památkovou ochranou.</w:t>
      </w:r>
    </w:p>
    <w:p w14:paraId="17B1AB7D" w14:textId="77777777" w:rsidR="00C94608" w:rsidRPr="007D55BA" w:rsidRDefault="00C94608" w:rsidP="00C94608">
      <w:pPr>
        <w:pStyle w:val="Nadpis2"/>
      </w:pPr>
      <w:bookmarkStart w:id="12" w:name="_Toc107393361"/>
      <w:bookmarkStart w:id="13" w:name="_Toc113880713"/>
      <w:bookmarkStart w:id="14" w:name="_Toc113881589"/>
      <w:r w:rsidRPr="007D55BA">
        <w:t xml:space="preserve">Vybrané podmínky </w:t>
      </w:r>
      <w:proofErr w:type="spellStart"/>
      <w:r w:rsidRPr="007D55BA">
        <w:t>self-assessmentu</w:t>
      </w:r>
      <w:proofErr w:type="spellEnd"/>
      <w:r w:rsidRPr="007D55BA">
        <w:t xml:space="preserve"> a jejich implementace</w:t>
      </w:r>
      <w:bookmarkEnd w:id="12"/>
      <w:bookmarkEnd w:id="13"/>
      <w:bookmarkEnd w:id="14"/>
    </w:p>
    <w:p w14:paraId="160C874C" w14:textId="77777777" w:rsidR="00C94608" w:rsidRDefault="00C94608" w:rsidP="00C94608">
      <w:pPr>
        <w:spacing w:before="240"/>
      </w:pPr>
      <w:r>
        <w:t>V případě instalace vnitřního vybavení budovy musí technika být v souladu s příslušnými závěry referenčního dokumentu o nejlepších dostupných technikách (</w:t>
      </w:r>
      <w:r w:rsidRPr="007D55BA">
        <w:rPr>
          <w:i/>
          <w:iCs/>
        </w:rPr>
        <w:t xml:space="preserve">Best </w:t>
      </w:r>
      <w:proofErr w:type="spellStart"/>
      <w:r w:rsidRPr="007D55BA">
        <w:rPr>
          <w:i/>
          <w:iCs/>
        </w:rPr>
        <w:t>Available</w:t>
      </w:r>
      <w:proofErr w:type="spellEnd"/>
      <w:r w:rsidRPr="007D55BA">
        <w:rPr>
          <w:i/>
          <w:iCs/>
        </w:rPr>
        <w:t xml:space="preserve"> </w:t>
      </w:r>
      <w:proofErr w:type="spellStart"/>
      <w:r w:rsidRPr="007D55BA">
        <w:rPr>
          <w:i/>
          <w:iCs/>
        </w:rPr>
        <w:t>Techniques</w:t>
      </w:r>
      <w:proofErr w:type="spellEnd"/>
      <w:r>
        <w:t>, zkráceně „BAT“) nebo s referenčními dokumenty o nejlepších dostupných technikách (</w:t>
      </w:r>
      <w:r w:rsidRPr="007D55BA">
        <w:rPr>
          <w:i/>
          <w:iCs/>
        </w:rPr>
        <w:t xml:space="preserve">Reference </w:t>
      </w:r>
      <w:proofErr w:type="spellStart"/>
      <w:r w:rsidRPr="007D55BA">
        <w:rPr>
          <w:i/>
          <w:iCs/>
        </w:rPr>
        <w:t>Document</w:t>
      </w:r>
      <w:proofErr w:type="spellEnd"/>
      <w:r w:rsidRPr="007D55BA">
        <w:rPr>
          <w:i/>
          <w:iCs/>
        </w:rPr>
        <w:t xml:space="preserve"> on Best </w:t>
      </w:r>
      <w:proofErr w:type="spellStart"/>
      <w:r w:rsidRPr="007D55BA">
        <w:rPr>
          <w:i/>
          <w:iCs/>
        </w:rPr>
        <w:t>Available</w:t>
      </w:r>
      <w:proofErr w:type="spellEnd"/>
      <w:r w:rsidRPr="007D55BA">
        <w:rPr>
          <w:i/>
          <w:iCs/>
        </w:rPr>
        <w:t xml:space="preserve"> </w:t>
      </w:r>
      <w:proofErr w:type="spellStart"/>
      <w:r w:rsidRPr="007D55BA">
        <w:rPr>
          <w:i/>
          <w:iCs/>
        </w:rPr>
        <w:t>Techniques</w:t>
      </w:r>
      <w:proofErr w:type="spellEnd"/>
      <w:r>
        <w:t>, zkráceně BREF) v daném odvětví. Toto opatření se vztahuje pouze na technické zařízení budovy, nikoliv na lékařské vybavení a zařízení.</w:t>
      </w:r>
    </w:p>
    <w:p w14:paraId="79AF1A84" w14:textId="77777777" w:rsidR="00C94608" w:rsidRDefault="00C94608" w:rsidP="00C94608">
      <w:pPr>
        <w:spacing w:before="240"/>
      </w:pPr>
    </w:p>
    <w:p w14:paraId="4D9924BA" w14:textId="77777777" w:rsidR="00C94608" w:rsidRDefault="00C94608" w:rsidP="00C94608">
      <w:pPr>
        <w:pStyle w:val="Nadpis1"/>
      </w:pPr>
      <w:bookmarkStart w:id="15" w:name="_Toc107393362"/>
      <w:bookmarkStart w:id="16" w:name="_Toc113880714"/>
      <w:bookmarkStart w:id="17" w:name="_Toc113881590"/>
      <w:r w:rsidRPr="00310F5B">
        <w:t>Technické parametry budov – výstavba/renovace</w:t>
      </w:r>
      <w:bookmarkEnd w:id="15"/>
      <w:bookmarkEnd w:id="16"/>
      <w:bookmarkEnd w:id="17"/>
    </w:p>
    <w:p w14:paraId="0722C745" w14:textId="77777777" w:rsidR="00C94608" w:rsidRPr="009903F9" w:rsidRDefault="00C94608" w:rsidP="00C94608">
      <w:pPr>
        <w:spacing w:before="240"/>
        <w:rPr>
          <w:shd w:val="clear" w:color="auto" w:fill="FFFFFF"/>
        </w:rPr>
      </w:pPr>
      <w:r>
        <w:t>Celkovou energeticky vztažnou plochou budovy nebo ucelené části budovy se myslí dle</w:t>
      </w:r>
      <w:r w:rsidRPr="008E2ADE">
        <w:t xml:space="preserve"> §2</w:t>
      </w:r>
      <w:r>
        <w:t> </w:t>
      </w:r>
      <w:r w:rsidRPr="008E2ADE">
        <w:t>odst.1 zákona 406/2000 </w:t>
      </w:r>
      <w:r>
        <w:t>S</w:t>
      </w:r>
      <w:r w:rsidRPr="008E2ADE">
        <w:t>b.</w:t>
      </w:r>
      <w:r>
        <w:t>,</w:t>
      </w:r>
      <w:r w:rsidRPr="008E2ADE">
        <w:t xml:space="preserve"> o hospodaření energií</w:t>
      </w:r>
      <w:r>
        <w:t xml:space="preserve">, </w:t>
      </w:r>
      <w:r w:rsidRPr="008E2ADE">
        <w:t>„</w:t>
      </w:r>
      <w:r w:rsidRPr="008E2ADE">
        <w:rPr>
          <w:shd w:val="clear" w:color="auto" w:fill="FFFFFF"/>
        </w:rPr>
        <w:t xml:space="preserve">vnější půdorysná plocha všech prostorů s </w:t>
      </w:r>
      <w:r w:rsidRPr="008E2ADE">
        <w:rPr>
          <w:b/>
          <w:shd w:val="clear" w:color="auto" w:fill="FFFFFF"/>
        </w:rPr>
        <w:t>upravovaným vnitřním prostředím</w:t>
      </w:r>
      <w:r w:rsidRPr="008E2ADE">
        <w:rPr>
          <w:shd w:val="clear" w:color="auto" w:fill="FFFFFF"/>
        </w:rPr>
        <w:t xml:space="preserve"> ve všech </w:t>
      </w:r>
      <w:r w:rsidRPr="008E2ADE">
        <w:rPr>
          <w:b/>
          <w:shd w:val="clear" w:color="auto" w:fill="FFFFFF"/>
        </w:rPr>
        <w:t xml:space="preserve">podlažích </w:t>
      </w:r>
      <w:r w:rsidRPr="008E2ADE">
        <w:rPr>
          <w:shd w:val="clear" w:color="auto" w:fill="FFFFFF"/>
        </w:rPr>
        <w:t>budovy nebo její ucelené části</w:t>
      </w:r>
      <w:r>
        <w:rPr>
          <w:shd w:val="clear" w:color="auto" w:fill="FFFFFF"/>
        </w:rPr>
        <w:t>“.</w:t>
      </w:r>
    </w:p>
    <w:p w14:paraId="5C43516B" w14:textId="77777777" w:rsidR="00C94608" w:rsidRDefault="00C94608" w:rsidP="00C94608">
      <w:pPr>
        <w:rPr>
          <w:shd w:val="clear" w:color="auto" w:fill="FFFFFF"/>
        </w:rPr>
      </w:pPr>
      <w:r>
        <w:rPr>
          <w:shd w:val="clear" w:color="auto" w:fill="FFFFFF"/>
        </w:rPr>
        <w:t>„</w:t>
      </w:r>
      <w:r w:rsidRPr="008E2ADE">
        <w:rPr>
          <w:shd w:val="clear" w:color="auto" w:fill="FFFFFF"/>
        </w:rPr>
        <w:t>Dle písm. x</w:t>
      </w:r>
      <w:r w:rsidRPr="008E2ADE">
        <w:t>)</w:t>
      </w:r>
      <w:r w:rsidRPr="008E2ADE">
        <w:rPr>
          <w:shd w:val="clear" w:color="auto" w:fill="FFFFFF"/>
        </w:rPr>
        <w:t> </w:t>
      </w:r>
      <w:r w:rsidRPr="008E2ADE">
        <w:rPr>
          <w:b/>
          <w:shd w:val="clear" w:color="auto" w:fill="FFFFFF"/>
        </w:rPr>
        <w:t xml:space="preserve">upravovaným vnitřním prostředím </w:t>
      </w:r>
      <w:r w:rsidRPr="008E2ADE">
        <w:rPr>
          <w:shd w:val="clear" w:color="auto" w:fill="FFFFFF"/>
        </w:rPr>
        <w:t>prostředí uvnitř obálky budovy, které je definováno návrhovými hodnotami teploty na</w:t>
      </w:r>
      <w:r w:rsidRPr="009903F9">
        <w:rPr>
          <w:shd w:val="clear" w:color="auto" w:fill="FFFFFF"/>
        </w:rPr>
        <w:t xml:space="preserve"> vytápění nebo chlazení</w:t>
      </w:r>
      <w:r>
        <w:rPr>
          <w:shd w:val="clear" w:color="auto" w:fill="FFFFFF"/>
        </w:rPr>
        <w:t xml:space="preserve">“. </w:t>
      </w:r>
      <w:r w:rsidRPr="00310F5B">
        <w:rPr>
          <w:shd w:val="clear" w:color="auto" w:fill="FFFFFF"/>
        </w:rPr>
        <w:t>D</w:t>
      </w:r>
      <w:r w:rsidRPr="00310F5B">
        <w:t>le §2 odst.2 písm. n) zákona 406/2000 Sb.,</w:t>
      </w:r>
      <w:r w:rsidRPr="009903F9">
        <w:rPr>
          <w:rStyle w:val="PromnnHTML"/>
          <w:rFonts w:cs="Arial"/>
          <w:bCs/>
          <w:sz w:val="20"/>
          <w:szCs w:val="20"/>
          <w:shd w:val="clear" w:color="auto" w:fill="FFFFFF"/>
        </w:rPr>
        <w:t xml:space="preserve"> </w:t>
      </w:r>
      <w:r>
        <w:rPr>
          <w:rStyle w:val="PromnnHTML"/>
          <w:rFonts w:cs="Arial"/>
          <w:bCs/>
          <w:sz w:val="20"/>
          <w:szCs w:val="20"/>
          <w:shd w:val="clear" w:color="auto" w:fill="FFFFFF"/>
        </w:rPr>
        <w:t>„</w:t>
      </w:r>
      <w:r w:rsidRPr="008E2ADE">
        <w:rPr>
          <w:b/>
          <w:shd w:val="clear" w:color="auto" w:fill="FFFFFF"/>
        </w:rPr>
        <w:t>podlažím</w:t>
      </w:r>
      <w:r w:rsidRPr="009903F9">
        <w:rPr>
          <w:shd w:val="clear" w:color="auto" w:fill="FFFFFF"/>
        </w:rPr>
        <w:t xml:space="preserve"> přístupný prostor vymezený dvěma nad sebou následujícími nosnými konstrukcemi stropu nebo hrubé podlahy na terénu nebo konstrukcí střechy včetně podkroví.</w:t>
      </w:r>
      <w:r>
        <w:rPr>
          <w:shd w:val="clear" w:color="auto" w:fill="FFFFFF"/>
        </w:rPr>
        <w:t>“ Dále dle zákona č. 406/2000 Sb. a v</w:t>
      </w:r>
      <w:r w:rsidRPr="00084449">
        <w:rPr>
          <w:shd w:val="clear" w:color="auto" w:fill="FFFFFF"/>
        </w:rPr>
        <w:t>yhlášk</w:t>
      </w:r>
      <w:r>
        <w:rPr>
          <w:shd w:val="clear" w:color="auto" w:fill="FFFFFF"/>
        </w:rPr>
        <w:t>y</w:t>
      </w:r>
      <w:r w:rsidRPr="00084449">
        <w:rPr>
          <w:shd w:val="clear" w:color="auto" w:fill="FFFFFF"/>
        </w:rPr>
        <w:t xml:space="preserve"> č. 264/2020 o energetické náročnosti budov</w:t>
      </w:r>
      <w:r>
        <w:rPr>
          <w:shd w:val="clear" w:color="auto" w:fill="FFFFFF"/>
        </w:rPr>
        <w:t>.</w:t>
      </w:r>
    </w:p>
    <w:p w14:paraId="1D976E49" w14:textId="77777777" w:rsidR="00C94608" w:rsidRDefault="00C94608" w:rsidP="00C94608">
      <w:pPr>
        <w:rPr>
          <w:shd w:val="clear" w:color="auto" w:fill="FFFFFF"/>
        </w:rPr>
      </w:pPr>
    </w:p>
    <w:p w14:paraId="556E9606" w14:textId="77777777" w:rsidR="00C94608" w:rsidRPr="00084449" w:rsidRDefault="00C94608" w:rsidP="00C94608">
      <w:pPr>
        <w:rPr>
          <w:b/>
          <w:bCs/>
        </w:rPr>
      </w:pPr>
      <w:r w:rsidRPr="00084449">
        <w:rPr>
          <w:b/>
          <w:bCs/>
        </w:rPr>
        <w:t>Rozdělení dle charakteru stavby</w:t>
      </w:r>
    </w:p>
    <w:p w14:paraId="0E7E442B" w14:textId="77777777" w:rsidR="00C94608" w:rsidRDefault="00C94608" w:rsidP="00C94608">
      <w:pPr>
        <w:rPr>
          <w:b/>
          <w:bCs/>
        </w:rPr>
      </w:pPr>
      <w:r>
        <w:t xml:space="preserve">Rozdělení dle charakteru stavby kopíruje nikoliv chápání budovy z pohledu procesního dle stavebního zákona, ale z pohledu faktického ovlivnění požadavků na energetickou náročnost budovy dle zákona č. 406/2000 Sb. a vyhlášky č. 264/2020 Sb. Příjemce stanoví, zda v rámci projektu realizuje </w:t>
      </w:r>
      <w:r w:rsidRPr="00BB7147">
        <w:rPr>
          <w:b/>
          <w:bCs/>
        </w:rPr>
        <w:t>výstavb</w:t>
      </w:r>
      <w:r>
        <w:rPr>
          <w:b/>
          <w:bCs/>
        </w:rPr>
        <w:t>u</w:t>
      </w:r>
      <w:r w:rsidRPr="00BB7147">
        <w:rPr>
          <w:b/>
          <w:bCs/>
        </w:rPr>
        <w:t xml:space="preserve"> budov</w:t>
      </w:r>
      <w:r>
        <w:t xml:space="preserve"> nebo</w:t>
      </w:r>
      <w:r w:rsidRPr="00EF0899">
        <w:t xml:space="preserve"> změn</w:t>
      </w:r>
      <w:r>
        <w:t>u</w:t>
      </w:r>
      <w:r w:rsidRPr="00EF0899">
        <w:t xml:space="preserve"> dokončených budov </w:t>
      </w:r>
      <w:r>
        <w:t>(</w:t>
      </w:r>
      <w:r w:rsidRPr="00BB7147">
        <w:rPr>
          <w:b/>
          <w:bCs/>
        </w:rPr>
        <w:t>tzn. renovace budovy)</w:t>
      </w:r>
      <w:r>
        <w:rPr>
          <w:b/>
          <w:bCs/>
        </w:rPr>
        <w:t xml:space="preserve">. </w:t>
      </w:r>
    </w:p>
    <w:p w14:paraId="1D09CCE3" w14:textId="77777777" w:rsidR="00C94608" w:rsidRDefault="00C94608" w:rsidP="00C94608">
      <w:pPr>
        <w:rPr>
          <w:b/>
          <w:bCs/>
        </w:rPr>
      </w:pPr>
    </w:p>
    <w:p w14:paraId="1C05DAD6" w14:textId="77777777" w:rsidR="00C94608" w:rsidRPr="00B63F82" w:rsidRDefault="00C94608" w:rsidP="00C94608">
      <w:pPr>
        <w:pStyle w:val="Nadpis2"/>
      </w:pPr>
      <w:bookmarkStart w:id="18" w:name="_Toc113880715"/>
      <w:bookmarkStart w:id="19" w:name="_Toc113881591"/>
      <w:r>
        <w:lastRenderedPageBreak/>
        <w:t>V</w:t>
      </w:r>
      <w:r w:rsidRPr="00B63F82">
        <w:t>ýstavb</w:t>
      </w:r>
      <w:r>
        <w:t>a</w:t>
      </w:r>
      <w:r w:rsidRPr="00B63F82">
        <w:t xml:space="preserve"> budov – </w:t>
      </w:r>
      <w:r>
        <w:t>t</w:t>
      </w:r>
      <w:r w:rsidRPr="00B63F82">
        <w:t>echnická kritéria</w:t>
      </w:r>
      <w:bookmarkEnd w:id="18"/>
      <w:bookmarkEnd w:id="19"/>
    </w:p>
    <w:p w14:paraId="27A90A54" w14:textId="77777777" w:rsidR="00C94608" w:rsidRDefault="00C94608" w:rsidP="00C94608">
      <w:pPr>
        <w:spacing w:before="240"/>
        <w:rPr>
          <w:bCs/>
        </w:rPr>
      </w:pPr>
      <w:r>
        <w:rPr>
          <w:bCs/>
        </w:rPr>
        <w:t xml:space="preserve">K výstavbě nových budov – platí plnění </w:t>
      </w:r>
      <w:r w:rsidRPr="00F124A7">
        <w:rPr>
          <w:bCs/>
        </w:rPr>
        <w:t xml:space="preserve">požadavků </w:t>
      </w:r>
      <w:r w:rsidRPr="00F124A7">
        <w:rPr>
          <w:b/>
          <w:bCs/>
        </w:rPr>
        <w:t>dle §6 odst. 1</w:t>
      </w:r>
      <w:r w:rsidRPr="00F124A7">
        <w:rPr>
          <w:bCs/>
        </w:rPr>
        <w:t xml:space="preserve"> vyhlášky</w:t>
      </w:r>
      <w:r>
        <w:rPr>
          <w:bCs/>
        </w:rPr>
        <w:t xml:space="preserve"> č.264/2020 Sb.:</w:t>
      </w:r>
    </w:p>
    <w:p w14:paraId="1AFDF00A" w14:textId="77777777" w:rsidR="00C94608" w:rsidRPr="00084449" w:rsidRDefault="00C94608" w:rsidP="00C94608">
      <w:pPr>
        <w:pStyle w:val="Odstavecseseznamem"/>
        <w:numPr>
          <w:ilvl w:val="0"/>
          <w:numId w:val="4"/>
        </w:numPr>
        <w:spacing w:line="276" w:lineRule="auto"/>
        <w:rPr>
          <w:rFonts w:ascii="Arial" w:hAnsi="Arial" w:cs="Arial"/>
          <w:bCs/>
        </w:rPr>
      </w:pPr>
      <w:r w:rsidRPr="00084449">
        <w:rPr>
          <w:rFonts w:ascii="Arial" w:hAnsi="Arial" w:cs="Arial"/>
          <w:bCs/>
        </w:rPr>
        <w:t>Výstavba nové budovy</w:t>
      </w:r>
      <w:r>
        <w:rPr>
          <w:rFonts w:ascii="Arial" w:hAnsi="Arial" w:cs="Arial"/>
          <w:bCs/>
        </w:rPr>
        <w:t xml:space="preserve"> </w:t>
      </w:r>
    </w:p>
    <w:p w14:paraId="1AEE79F7" w14:textId="77777777" w:rsidR="00C94608" w:rsidRPr="00084449" w:rsidRDefault="00C94608" w:rsidP="00C94608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</w:rPr>
      </w:pPr>
      <w:r w:rsidRPr="00084449">
        <w:rPr>
          <w:rFonts w:ascii="Arial" w:hAnsi="Arial" w:cs="Arial"/>
          <w:bCs/>
        </w:rPr>
        <w:t>Přístavba ke stávající budově za předpokladu, že se jedná o ucelenou část budovy, která bude mít přidělené vlastní číslo popisné nebo orientační nebo bude samostatně označena v rámci areálu, jedná se samostatný funkční celek provozovatelný nezávisle na zbývající části budovy a mající vlastní zdroj tepla a chladu nezávislý na zbývající části budovy nebo mající samostatně měřenou a centrálně regulovanou dodávku energie nezávislou na zbývající části budovy.</w:t>
      </w:r>
    </w:p>
    <w:p w14:paraId="49C9B366" w14:textId="77777777" w:rsidR="00C94608" w:rsidRDefault="00C94608" w:rsidP="00C94608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</w:rPr>
      </w:pPr>
      <w:r w:rsidRPr="00084449">
        <w:rPr>
          <w:rFonts w:ascii="Arial" w:hAnsi="Arial" w:cs="Arial"/>
          <w:bCs/>
        </w:rPr>
        <w:t>Změna dokončené budovy v případě částečné či úplné demolice budovy, kdy nadzemní stavba zaniká a přestává být věcí v právním smyslu tehdy, není-li již patrno dispoziční řešení prvního nadzemního podlaží původní stavby, tj. zpravidla destrukcí obvodového zdiva pod úroveň stropu nad prvním podlažím.</w:t>
      </w:r>
    </w:p>
    <w:p w14:paraId="59F43282" w14:textId="77777777" w:rsidR="00C94608" w:rsidRDefault="00C94608" w:rsidP="00C94608">
      <w:r w:rsidRPr="008F6B3D">
        <w:t xml:space="preserve">Průkaz energetické náročnosti budovy (dále jen „PENB“) bude zpracován pro požadavky na energetickou náročnost budovy s téměř nulovou spotřebou </w:t>
      </w:r>
      <w:r>
        <w:t xml:space="preserve">energie </w:t>
      </w:r>
      <w:r w:rsidRPr="008F6B3D">
        <w:t>od 1. 1. 2022 dle vyhlášky č. 264/2020 Sb. Plnění požadavků se kontroluje v PENB část I – přehled plnění závazných požadavků vyhlášky a v grafické části PENB.</w:t>
      </w:r>
    </w:p>
    <w:p w14:paraId="084298FF" w14:textId="77777777" w:rsidR="00C94608" w:rsidRDefault="00C94608" w:rsidP="00C94608">
      <w:r>
        <w:t xml:space="preserve">Budova musí splnit minimálně legislativní požadavky na energetickou náročnost dle zákona č. 406/2000 Sb. a prováděcí vyhlášky č. 264/2020 Sb. ve znění pozdějších předpisů definovaných pro nové budovy od 1. 1. 2022. Plnění požadavků se legislativně vztahuje k okamžiku podání žádosti o stavební povolení, příp. změny stavby před dokončením. Budova musí dále splnit požadavky uvedené v tabulce níže. </w:t>
      </w:r>
      <w:r w:rsidRPr="00084449">
        <w:rPr>
          <w:bCs/>
        </w:rPr>
        <w:t>Podpora</w:t>
      </w:r>
      <w:r>
        <w:t xml:space="preserve"> řeší minimální energetické standardy požadované pro danou oblast podpory, tedy plnění požadavků o 20 % přísnějších, než činí legislativní požadavek na výstavbu nových budov (NZEB – budov s téměř nulovou spotřebou energie), jak požaduje CID v návaznosti na Metodiku sledování klimatu, která je přílohou VI Nařízení Evropského parlamentu a Rady (EU) 2021/241.</w:t>
      </w:r>
    </w:p>
    <w:p w14:paraId="7DF41419" w14:textId="77777777" w:rsidR="00C94608" w:rsidRDefault="00C94608" w:rsidP="00C94608">
      <w:pPr>
        <w:rPr>
          <w:b/>
          <w:bCs/>
        </w:rPr>
      </w:pPr>
    </w:p>
    <w:p w14:paraId="17B3FC65" w14:textId="77777777" w:rsidR="00C94608" w:rsidRDefault="00C94608" w:rsidP="00C94608">
      <w:pPr>
        <w:rPr>
          <w:b/>
          <w:bCs/>
        </w:rPr>
      </w:pPr>
      <w:r w:rsidRPr="00084449">
        <w:rPr>
          <w:b/>
          <w:bCs/>
        </w:rPr>
        <w:t>Technické požadavky – výstavba</w:t>
      </w:r>
    </w:p>
    <w:tbl>
      <w:tblPr>
        <w:tblpPr w:leftFromText="141" w:rightFromText="141" w:vertAnchor="text" w:horzAnchor="margin" w:tblpY="18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26"/>
        <w:gridCol w:w="3536"/>
      </w:tblGrid>
      <w:tr w:rsidR="00C94608" w:rsidRPr="00EF0899" w14:paraId="4F46EB69" w14:textId="77777777" w:rsidTr="004260F5">
        <w:trPr>
          <w:trHeight w:val="406"/>
        </w:trPr>
        <w:tc>
          <w:tcPr>
            <w:tcW w:w="3049" w:type="pct"/>
            <w:shd w:val="clear" w:color="auto" w:fill="ACB9CA" w:themeFill="text2" w:themeFillTint="66"/>
            <w:vAlign w:val="center"/>
          </w:tcPr>
          <w:p w14:paraId="6EE66529" w14:textId="77777777" w:rsidR="00C94608" w:rsidRPr="002E429C" w:rsidRDefault="00C94608" w:rsidP="004260F5">
            <w:pPr>
              <w:spacing w:after="0"/>
              <w:rPr>
                <w:b/>
              </w:rPr>
            </w:pPr>
            <w:r w:rsidRPr="002E429C">
              <w:rPr>
                <w:b/>
              </w:rPr>
              <w:t>Sledovaný ukazatel</w:t>
            </w:r>
          </w:p>
        </w:tc>
        <w:tc>
          <w:tcPr>
            <w:tcW w:w="1951" w:type="pct"/>
            <w:shd w:val="clear" w:color="auto" w:fill="ACB9CA" w:themeFill="text2" w:themeFillTint="66"/>
            <w:vAlign w:val="center"/>
          </w:tcPr>
          <w:p w14:paraId="17C3D81F" w14:textId="77777777" w:rsidR="00C94608" w:rsidRPr="002E429C" w:rsidRDefault="00C94608" w:rsidP="004260F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Kvalitativní kritéria</w:t>
            </w:r>
          </w:p>
        </w:tc>
      </w:tr>
      <w:tr w:rsidR="00C94608" w:rsidRPr="00EF0899" w14:paraId="33897F8D" w14:textId="77777777" w:rsidTr="004260F5">
        <w:trPr>
          <w:trHeight w:val="454"/>
        </w:trPr>
        <w:tc>
          <w:tcPr>
            <w:tcW w:w="3049" w:type="pct"/>
            <w:vAlign w:val="center"/>
          </w:tcPr>
          <w:p w14:paraId="6EC2064A" w14:textId="77777777" w:rsidR="00C94608" w:rsidRDefault="00C94608" w:rsidP="004260F5">
            <w:pPr>
              <w:spacing w:after="0"/>
            </w:pPr>
            <w:r w:rsidRPr="00EF0899">
              <w:t xml:space="preserve">Primární energie z neobnovitelných zdrojů </w:t>
            </w:r>
          </w:p>
        </w:tc>
        <w:tc>
          <w:tcPr>
            <w:tcW w:w="1951" w:type="pct"/>
            <w:vAlign w:val="center"/>
          </w:tcPr>
          <w:p w14:paraId="24783B59" w14:textId="77777777" w:rsidR="00C94608" w:rsidRPr="002537C1" w:rsidRDefault="00C94608" w:rsidP="004260F5">
            <w:pPr>
              <w:spacing w:after="0"/>
              <w:jc w:val="center"/>
              <w:rPr>
                <w:vertAlign w:val="subscript"/>
              </w:rPr>
            </w:pPr>
            <w:proofErr w:type="spellStart"/>
            <w:r w:rsidRPr="00EF0899">
              <w:t>E</w:t>
            </w:r>
            <w:r w:rsidRPr="00EF0899">
              <w:rPr>
                <w:rStyle w:val="a10"/>
                <w:rFonts w:eastAsia="Calibri"/>
                <w:vertAlign w:val="subscript"/>
              </w:rPr>
              <w:t>pN,A</w:t>
            </w:r>
            <w:proofErr w:type="spellEnd"/>
            <w:r w:rsidRPr="00EF0899">
              <w:t xml:space="preserve"> ≤ 0,80. E</w:t>
            </w:r>
            <w:r w:rsidRPr="00EF0899">
              <w:rPr>
                <w:vertAlign w:val="subscript"/>
              </w:rPr>
              <w:t>R</w:t>
            </w:r>
            <w:r w:rsidRPr="002537C1">
              <w:t>*</w:t>
            </w:r>
          </w:p>
        </w:tc>
      </w:tr>
      <w:tr w:rsidR="00C94608" w:rsidRPr="00EF0899" w14:paraId="2DAF81E5" w14:textId="77777777" w:rsidTr="004260F5">
        <w:trPr>
          <w:trHeight w:val="454"/>
        </w:trPr>
        <w:tc>
          <w:tcPr>
            <w:tcW w:w="3049" w:type="pct"/>
            <w:vAlign w:val="center"/>
          </w:tcPr>
          <w:p w14:paraId="3CEF233B" w14:textId="77777777" w:rsidR="00C94608" w:rsidRPr="00EF0899" w:rsidRDefault="00C94608" w:rsidP="004260F5">
            <w:pPr>
              <w:spacing w:after="0"/>
            </w:pPr>
            <w:r w:rsidRPr="00EF0899">
              <w:t>Průměrný součinitel prostupu tepla</w:t>
            </w:r>
          </w:p>
        </w:tc>
        <w:tc>
          <w:tcPr>
            <w:tcW w:w="1951" w:type="pct"/>
            <w:vAlign w:val="center"/>
          </w:tcPr>
          <w:p w14:paraId="3D277490" w14:textId="77777777" w:rsidR="00C94608" w:rsidRPr="00EF0899" w:rsidRDefault="00C94608" w:rsidP="004260F5">
            <w:pPr>
              <w:spacing w:after="0"/>
              <w:jc w:val="center"/>
            </w:pPr>
            <w:proofErr w:type="spellStart"/>
            <w:r w:rsidRPr="00EF0899">
              <w:t>U</w:t>
            </w:r>
            <w:r w:rsidRPr="00EF0899">
              <w:rPr>
                <w:vertAlign w:val="subscript"/>
              </w:rPr>
              <w:t>em</w:t>
            </w:r>
            <w:proofErr w:type="spellEnd"/>
            <w:r w:rsidRPr="00EF0899">
              <w:t xml:space="preserve"> ≤ 0,35 W.m</w:t>
            </w:r>
            <w:r w:rsidRPr="00EF0899">
              <w:rPr>
                <w:vertAlign w:val="superscript"/>
              </w:rPr>
              <w:t>-2</w:t>
            </w:r>
            <w:r w:rsidRPr="00EF0899">
              <w:t>K</w:t>
            </w:r>
            <w:r w:rsidRPr="00EF0899">
              <w:rPr>
                <w:vertAlign w:val="superscript"/>
              </w:rPr>
              <w:t>-1</w:t>
            </w:r>
          </w:p>
        </w:tc>
      </w:tr>
      <w:tr w:rsidR="00C94608" w:rsidRPr="00EF0899" w14:paraId="633E925C" w14:textId="77777777" w:rsidTr="004260F5">
        <w:trPr>
          <w:trHeight w:val="454"/>
        </w:trPr>
        <w:tc>
          <w:tcPr>
            <w:tcW w:w="3049" w:type="pct"/>
            <w:vAlign w:val="center"/>
          </w:tcPr>
          <w:p w14:paraId="4116EFE7" w14:textId="77777777" w:rsidR="00C94608" w:rsidRPr="00EF0899" w:rsidRDefault="00C94608" w:rsidP="004260F5">
            <w:pPr>
              <w:spacing w:after="0"/>
            </w:pPr>
            <w:r w:rsidRPr="00EF0899">
              <w:t>Nejvyšší denní teplota vzduchu v místnosti v letním období</w:t>
            </w:r>
          </w:p>
        </w:tc>
        <w:tc>
          <w:tcPr>
            <w:tcW w:w="1951" w:type="pct"/>
            <w:vAlign w:val="center"/>
          </w:tcPr>
          <w:p w14:paraId="27FE5639" w14:textId="77777777" w:rsidR="00C94608" w:rsidRPr="00EF0899" w:rsidRDefault="00C94608" w:rsidP="004260F5">
            <w:pPr>
              <w:spacing w:after="0"/>
              <w:jc w:val="center"/>
            </w:pPr>
            <w:r w:rsidRPr="00EF0899">
              <w:t xml:space="preserve">≤ </w:t>
            </w:r>
            <w:proofErr w:type="spellStart"/>
            <w:r w:rsidRPr="00EF0899">
              <w:t>Ɵ</w:t>
            </w:r>
            <w:r w:rsidRPr="00EF0899">
              <w:rPr>
                <w:vertAlign w:val="subscript"/>
              </w:rPr>
              <w:t>ai,max,N</w:t>
            </w:r>
            <w:proofErr w:type="spellEnd"/>
          </w:p>
        </w:tc>
      </w:tr>
    </w:tbl>
    <w:p w14:paraId="7281C276" w14:textId="77777777" w:rsidR="00C94608" w:rsidRDefault="00C94608" w:rsidP="00C94608">
      <w:pPr>
        <w:rPr>
          <w:i/>
        </w:rPr>
      </w:pPr>
      <w:r w:rsidRPr="002E429C">
        <w:rPr>
          <w:i/>
        </w:rPr>
        <w:t>*</w:t>
      </w:r>
      <w:r>
        <w:rPr>
          <w:i/>
        </w:rPr>
        <w:t xml:space="preserve"> Odpovídá </w:t>
      </w:r>
      <w:r w:rsidRPr="002E429C">
        <w:rPr>
          <w:i/>
        </w:rPr>
        <w:t>klasifikace</w:t>
      </w:r>
      <w:r>
        <w:rPr>
          <w:i/>
        </w:rPr>
        <w:t xml:space="preserve"> primární energie z neobnovitelných zdrojů </w:t>
      </w:r>
      <w:r w:rsidRPr="002E429C">
        <w:rPr>
          <w:i/>
        </w:rPr>
        <w:t>dle PENB po 1. 1. 2022</w:t>
      </w:r>
      <w:r>
        <w:rPr>
          <w:i/>
        </w:rPr>
        <w:t xml:space="preserve"> na úrovni A – mimořádně úsporná (viz grafická část PENB)</w:t>
      </w:r>
    </w:p>
    <w:p w14:paraId="770E3069" w14:textId="77777777" w:rsidR="00C94608" w:rsidRDefault="00C94608" w:rsidP="00C94608">
      <w:pPr>
        <w:rPr>
          <w:i/>
        </w:rPr>
      </w:pPr>
    </w:p>
    <w:p w14:paraId="76641C9C" w14:textId="77777777" w:rsidR="00C94608" w:rsidRPr="0039216D" w:rsidRDefault="00C94608" w:rsidP="00C94608">
      <w:pPr>
        <w:keepNext/>
        <w:rPr>
          <w:b/>
        </w:rPr>
      </w:pPr>
      <w:r w:rsidRPr="0039216D">
        <w:rPr>
          <w:b/>
        </w:rPr>
        <w:t xml:space="preserve">Popis </w:t>
      </w:r>
      <w:r>
        <w:rPr>
          <w:b/>
        </w:rPr>
        <w:t>ukazatelů</w:t>
      </w:r>
    </w:p>
    <w:p w14:paraId="79AA7F3C" w14:textId="77777777" w:rsidR="00C94608" w:rsidRPr="00486C99" w:rsidRDefault="00C94608" w:rsidP="00C94608">
      <w:pPr>
        <w:spacing w:beforeAutospacing="1" w:after="0" w:afterAutospacing="1"/>
      </w:pPr>
      <w:r w:rsidRPr="00486C99">
        <w:rPr>
          <w:b/>
          <w:bCs/>
        </w:rPr>
        <w:t>Dosažená hodnota primární energie z neobnovitelných</w:t>
      </w:r>
      <w:r w:rsidRPr="00486C99">
        <w:t xml:space="preserve"> zdrojů – Hlavní kritérium definující snížení spotřeby primární energie z neobnovitelných zdrojů jako hlavního ukazatele </w:t>
      </w:r>
      <w:r w:rsidRPr="00486C99">
        <w:lastRenderedPageBreak/>
        <w:t>energetické náročnosti budovy o 20 % oproti požadavku na budovu s téměř nulovou spotřebou energie (NZEB). Tato úroveň odpovídá klasifikační třídě A – mimořádně úsporná v grafické části PENB.</w:t>
      </w:r>
    </w:p>
    <w:p w14:paraId="1CE016A9" w14:textId="77777777" w:rsidR="00C94608" w:rsidRPr="00486C99" w:rsidRDefault="00C94608" w:rsidP="00C94608">
      <w:pPr>
        <w:spacing w:beforeAutospacing="1" w:after="0" w:afterAutospacing="1"/>
      </w:pPr>
      <w:r w:rsidRPr="00486C99">
        <w:rPr>
          <w:b/>
          <w:bCs/>
        </w:rPr>
        <w:t xml:space="preserve">Průměrný součinitel prostupu tepla </w:t>
      </w:r>
      <w:proofErr w:type="spellStart"/>
      <w:r w:rsidRPr="00486C99">
        <w:rPr>
          <w:b/>
          <w:bCs/>
        </w:rPr>
        <w:t>Uem</w:t>
      </w:r>
      <w:proofErr w:type="spellEnd"/>
      <w:r w:rsidRPr="00486C99">
        <w:rPr>
          <w:b/>
          <w:bCs/>
        </w:rPr>
        <w:t xml:space="preserve"> ≤ 0,35 W. m-2K-1</w:t>
      </w:r>
      <w:r w:rsidRPr="00486C99">
        <w:t xml:space="preserve"> – Jedná se doplňující kritérium zajišťující kvalitu obálky budovy. Hodnota se stanovuje z PENB. V grafické části a části I – přehled plnění závazných požadavků vyhlášky musí být hodnota průměrného součinitele prostupu tepla </w:t>
      </w:r>
      <w:proofErr w:type="spellStart"/>
      <w:r w:rsidRPr="00486C99">
        <w:t>Uem</w:t>
      </w:r>
      <w:proofErr w:type="spellEnd"/>
      <w:r w:rsidRPr="00486C99">
        <w:t xml:space="preserve"> pro hodnocenou budovu nižší nebo rovna než uvedený požadavek.</w:t>
      </w:r>
    </w:p>
    <w:p w14:paraId="5BD22098" w14:textId="77777777" w:rsidR="00C94608" w:rsidRPr="00486C99" w:rsidRDefault="00C94608" w:rsidP="00C94608">
      <w:pPr>
        <w:spacing w:beforeAutospacing="1" w:after="0" w:afterAutospacing="1"/>
      </w:pPr>
      <w:r w:rsidRPr="00486C99">
        <w:rPr>
          <w:b/>
          <w:bCs/>
        </w:rPr>
        <w:t>Nejvyšší denní teplota vzduchu v místnosti v letním období</w:t>
      </w:r>
      <w:r w:rsidRPr="00486C99">
        <w:t xml:space="preserve"> – jedná se kritérium definované na základě požadavku vyhlášky č. 268/2009 Sb. o technických požadavcích na stavby a zde odkázané ČSN 730540-2. Cílem je zajistit kvalitní vnitřní prostředí v budovách a</w:t>
      </w:r>
      <w:r>
        <w:t> </w:t>
      </w:r>
      <w:r w:rsidRPr="00486C99">
        <w:t>zabránit riziku přehřívání vnitřních prostor. Definuje kvalitu vnitřního prostředí, která je ve stavební praxi často přehlížena.</w:t>
      </w:r>
    </w:p>
    <w:p w14:paraId="273940D6" w14:textId="77777777" w:rsidR="00C94608" w:rsidRPr="006E464E" w:rsidRDefault="00C94608" w:rsidP="00C94608">
      <w:pPr>
        <w:pStyle w:val="Nadpis2"/>
      </w:pPr>
      <w:bookmarkStart w:id="20" w:name="_Toc113880716"/>
      <w:bookmarkStart w:id="21" w:name="_Toc113881592"/>
      <w:r w:rsidRPr="00486C99">
        <w:t>Renovace – technická kritéria</w:t>
      </w:r>
      <w:bookmarkEnd w:id="20"/>
      <w:bookmarkEnd w:id="21"/>
    </w:p>
    <w:p w14:paraId="5A790E82" w14:textId="77777777" w:rsidR="00C94608" w:rsidRDefault="00C94608" w:rsidP="00C94608">
      <w:pPr>
        <w:spacing w:before="240"/>
      </w:pPr>
      <w:r>
        <w:rPr>
          <w:rFonts w:cs="Arial"/>
          <w:bCs/>
        </w:rPr>
        <w:t xml:space="preserve">PENB </w:t>
      </w:r>
      <w:r w:rsidRPr="004B29B4">
        <w:t>bude zpracován pro požadavky na energetickou náročnost budovy větší změny dokončené budovy nebo jiné něž větší změny dokončené budovy dle vyhlášky č. 264/2020 Sb. Plnění požadavků se kontroluje v PENB část I – přehled plnění závazných požadavků vyhlášky a v grafické části PENB.</w:t>
      </w:r>
    </w:p>
    <w:p w14:paraId="712E76FA" w14:textId="77777777" w:rsidR="00C94608" w:rsidRDefault="00C94608" w:rsidP="00C94608">
      <w:r>
        <w:t xml:space="preserve">Budova musí splnit minimálně legislativní požadavky na energetickou náročnost dle zákona č.406/2000 Sb. a prováděcí vyhlášky č. 264/2020 Sb. ve znění pozdějších předpisů. Plnění požadavků se legislativně vztahuje k okamžiku podání žádosti o stavební povolení. Budova musí dále splnit požadavky uvedené v tabulce níže. </w:t>
      </w:r>
    </w:p>
    <w:p w14:paraId="1E97484A" w14:textId="77777777" w:rsidR="00C94608" w:rsidRDefault="00C94608" w:rsidP="00C94608">
      <w:r>
        <w:t>Ve zvláštním případě, kdy se jedná o větší změnu dokončené budovy, ale s legislativním požadavkem na plnění požadavků na budovu s téměř nulovou spotřebou energie (tj. původně neexistovala energeticky vztažná plocha, nebo se zvětšila o více než 2,5násobek původní), se mohou budovy zařadit do výzvy na renovace, ale musí plnit minimální podmínky budovy s téměř nulovou spotřebou energie (mírnější podmínky než v případě výzvy pro novostavby, kde se vyžaduje plnění přísnější o 20 %).</w:t>
      </w:r>
    </w:p>
    <w:p w14:paraId="2CBCEEEA" w14:textId="77777777" w:rsidR="00C94608" w:rsidRDefault="00C94608" w:rsidP="00C94608">
      <w:r>
        <w:t xml:space="preserve">Postup budovy s památkovou ochranou (dle platné české legislativy): </w:t>
      </w:r>
      <w:r w:rsidRPr="004B29B4">
        <w:t>Kritéria pro změnu dokončené budovy, která je památkově chráněna, se vztahuj</w:t>
      </w:r>
      <w:r>
        <w:t xml:space="preserve">í </w:t>
      </w:r>
      <w:r w:rsidRPr="004B29B4">
        <w:t>na budovy uvedené v zákoně č.</w:t>
      </w:r>
      <w:r>
        <w:t> </w:t>
      </w:r>
      <w:r w:rsidRPr="004B29B4">
        <w:t>20/1987 Sb., o st</w:t>
      </w:r>
      <w:r>
        <w:t>á</w:t>
      </w:r>
      <w:r w:rsidRPr="004B29B4">
        <w:t>tní památkové p</w:t>
      </w:r>
      <w:r>
        <w:t>éč</w:t>
      </w:r>
      <w:r w:rsidRPr="004B29B4">
        <w:t>i, v platném znění, jako kulturní</w:t>
      </w:r>
      <w:r>
        <w:t xml:space="preserve"> </w:t>
      </w:r>
      <w:r w:rsidRPr="004B29B4">
        <w:t>památka nebo budovy, které nejsou kulturní památkou, ale nachází se v památkové rezervaci, v památkové z</w:t>
      </w:r>
      <w:r>
        <w:t>ó</w:t>
      </w:r>
      <w:r w:rsidRPr="004B29B4">
        <w:t>n</w:t>
      </w:r>
      <w:r>
        <w:t>ě</w:t>
      </w:r>
      <w:r w:rsidRPr="004B29B4">
        <w:t xml:space="preserve"> nebo v ochranném pásmu nemovité kulturní památky, nemovité národní</w:t>
      </w:r>
      <w:r>
        <w:t xml:space="preserve"> </w:t>
      </w:r>
      <w:r w:rsidRPr="004B29B4">
        <w:t xml:space="preserve">kulturní památky, památkové rezervace nebo památkové zóny. Předpokladem pro aplikaci tohoto kritéria je </w:t>
      </w:r>
      <w:r w:rsidRPr="003537FF">
        <w:rPr>
          <w:b/>
          <w:bCs/>
        </w:rPr>
        <w:t xml:space="preserve">závazné stanovisko orgánu památkové péče </w:t>
      </w:r>
      <w:r w:rsidRPr="004B29B4">
        <w:t xml:space="preserve">omezující rozsah renovace a nemožnost splnění kritérií pro </w:t>
      </w:r>
      <w:proofErr w:type="spellStart"/>
      <w:r w:rsidRPr="004B29B4">
        <w:t>nepamátkov</w:t>
      </w:r>
      <w:r>
        <w:t>ě</w:t>
      </w:r>
      <w:proofErr w:type="spellEnd"/>
      <w:r w:rsidRPr="004B29B4">
        <w:t xml:space="preserve"> </w:t>
      </w:r>
      <w:r>
        <w:t>chráněné</w:t>
      </w:r>
      <w:r w:rsidRPr="004B29B4">
        <w:t xml:space="preserve"> objekty. </w:t>
      </w:r>
    </w:p>
    <w:p w14:paraId="67264B0A" w14:textId="77777777" w:rsidR="00C94608" w:rsidRDefault="00C94608" w:rsidP="00C9460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  <w:r>
        <w:rPr>
          <w:b/>
          <w:bCs/>
        </w:rPr>
        <w:t>Budova/projekt během svého životního cyklu</w:t>
      </w:r>
      <w:r w:rsidRPr="00044F85">
        <w:rPr>
          <w:b/>
          <w:bCs/>
        </w:rPr>
        <w:t xml:space="preserve"> nesmí </w:t>
      </w:r>
      <w:r>
        <w:rPr>
          <w:b/>
          <w:bCs/>
        </w:rPr>
        <w:t xml:space="preserve">vést </w:t>
      </w:r>
      <w:r w:rsidRPr="00044F85">
        <w:rPr>
          <w:b/>
          <w:bCs/>
        </w:rPr>
        <w:t>k</w:t>
      </w:r>
      <w:r>
        <w:rPr>
          <w:b/>
          <w:bCs/>
        </w:rPr>
        <w:t xml:space="preserve">e značným emisím skleníkových plynů (zejména </w:t>
      </w:r>
      <w:r w:rsidRPr="00044F85">
        <w:rPr>
          <w:b/>
          <w:bCs/>
        </w:rPr>
        <w:t>CO</w:t>
      </w:r>
      <w:r w:rsidRPr="00044F85">
        <w:rPr>
          <w:b/>
          <w:bCs/>
          <w:vertAlign w:val="subscript"/>
        </w:rPr>
        <w:t>2</w:t>
      </w:r>
      <w:r>
        <w:rPr>
          <w:b/>
          <w:bCs/>
        </w:rPr>
        <w:t>)</w:t>
      </w:r>
      <w:r>
        <w:t xml:space="preserve"> – </w:t>
      </w:r>
      <w:r w:rsidRPr="00532AE6">
        <w:t xml:space="preserve">snížením hodnoty primární energie </w:t>
      </w:r>
      <w:r w:rsidRPr="000A772C">
        <w:t>dochází</w:t>
      </w:r>
      <w:r w:rsidRPr="00532AE6">
        <w:t> k</w:t>
      </w:r>
      <w:r>
        <w:rPr>
          <w:b/>
          <w:bCs/>
        </w:rPr>
        <w:t xml:space="preserve"> </w:t>
      </w:r>
      <w:r w:rsidRPr="009408BF">
        <w:rPr>
          <w:b/>
          <w:bCs/>
        </w:rPr>
        <w:t xml:space="preserve">úspoře </w:t>
      </w:r>
      <w:r>
        <w:rPr>
          <w:b/>
          <w:bCs/>
        </w:rPr>
        <w:t>CO</w:t>
      </w:r>
      <w:r w:rsidRPr="00EF06AC">
        <w:rPr>
          <w:b/>
          <w:bCs/>
          <w:vertAlign w:val="subscript"/>
        </w:rPr>
        <w:t>2</w:t>
      </w:r>
      <w:r w:rsidRPr="00044F85">
        <w:rPr>
          <w:b/>
          <w:bCs/>
        </w:rPr>
        <w:t xml:space="preserve"> </w:t>
      </w:r>
      <w:r>
        <w:t>oproti výchozímu stavu budovy.</w:t>
      </w:r>
    </w:p>
    <w:p w14:paraId="4319BC23" w14:textId="77777777" w:rsidR="00C94608" w:rsidRDefault="00C94608" w:rsidP="00C9460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</w:pPr>
    </w:p>
    <w:p w14:paraId="4D536E12" w14:textId="77777777" w:rsidR="00C94608" w:rsidRDefault="00C94608" w:rsidP="00C94608">
      <w:r>
        <w:t>V rámci projektu musí být zajištěno vyregulování otopné soustavy, osazení měřící techniky pro vyhodnocení úspory energie a zavedení energetického managementu.</w:t>
      </w:r>
    </w:p>
    <w:p w14:paraId="14B27CD6" w14:textId="77777777" w:rsidR="00C94608" w:rsidRDefault="00C94608" w:rsidP="00C94608">
      <w:pPr>
        <w:rPr>
          <w:bCs/>
        </w:rPr>
      </w:pPr>
      <w:r w:rsidRPr="00EF06AC">
        <w:rPr>
          <w:b/>
          <w:bCs/>
        </w:rPr>
        <w:t>Změna stávající budov</w:t>
      </w:r>
      <w:r>
        <w:rPr>
          <w:b/>
          <w:bCs/>
        </w:rPr>
        <w:t>y</w:t>
      </w:r>
      <w:r>
        <w:rPr>
          <w:bCs/>
        </w:rPr>
        <w:t xml:space="preserve"> – platí plnění požadavků </w:t>
      </w:r>
      <w:r w:rsidRPr="00964F4C">
        <w:rPr>
          <w:b/>
          <w:bCs/>
        </w:rPr>
        <w:t>dle §6 odst. 2</w:t>
      </w:r>
      <w:r>
        <w:rPr>
          <w:bCs/>
        </w:rPr>
        <w:t xml:space="preserve"> vyhlášky č.264/2020 Sb.</w:t>
      </w:r>
    </w:p>
    <w:p w14:paraId="1E6BDE7C" w14:textId="77777777" w:rsidR="00C94608" w:rsidRPr="00486C99" w:rsidRDefault="00C94608" w:rsidP="00C94608">
      <w:pPr>
        <w:pStyle w:val="Odstavecseseznamem"/>
        <w:widowControl w:val="0"/>
        <w:numPr>
          <w:ilvl w:val="0"/>
          <w:numId w:val="5"/>
        </w:numPr>
        <w:suppressAutoHyphens w:val="0"/>
        <w:autoSpaceDE w:val="0"/>
        <w:spacing w:after="0" w:line="276" w:lineRule="auto"/>
        <w:jc w:val="both"/>
        <w:textAlignment w:val="auto"/>
        <w:rPr>
          <w:rFonts w:ascii="Arial" w:hAnsi="Arial"/>
          <w:color w:val="000000"/>
          <w:szCs w:val="24"/>
          <w:lang w:eastAsia="cs-CZ"/>
        </w:rPr>
      </w:pPr>
      <w:r w:rsidRPr="00486C99">
        <w:rPr>
          <w:rFonts w:ascii="Arial" w:hAnsi="Arial"/>
          <w:color w:val="000000"/>
          <w:szCs w:val="24"/>
          <w:lang w:eastAsia="cs-CZ"/>
        </w:rPr>
        <w:lastRenderedPageBreak/>
        <w:t>Změny dokončené budovy, kdy se celková energeticky vztažná plocha nerozšiřuje na více než dvouapůlnásobek původní celkové energeticky vztažné plochy</w:t>
      </w:r>
    </w:p>
    <w:p w14:paraId="2B42EC20" w14:textId="77777777" w:rsidR="00C94608" w:rsidRPr="00084449" w:rsidRDefault="00C94608" w:rsidP="00C94608">
      <w:pPr>
        <w:rPr>
          <w:rFonts w:cs="Arial"/>
          <w:bCs/>
        </w:rPr>
      </w:pPr>
    </w:p>
    <w:p w14:paraId="4169607D" w14:textId="77777777" w:rsidR="00C94608" w:rsidRDefault="00C94608" w:rsidP="00C94608">
      <w:pPr>
        <w:rPr>
          <w:bCs/>
        </w:rPr>
      </w:pPr>
      <w:r w:rsidRPr="00EF06AC">
        <w:rPr>
          <w:b/>
          <w:bCs/>
        </w:rPr>
        <w:t>Změna stávající budov</w:t>
      </w:r>
      <w:r>
        <w:rPr>
          <w:b/>
          <w:bCs/>
        </w:rPr>
        <w:t>y</w:t>
      </w:r>
      <w:r>
        <w:rPr>
          <w:bCs/>
        </w:rPr>
        <w:t xml:space="preserve"> – platí plnění požadavků </w:t>
      </w:r>
      <w:r w:rsidRPr="00964F4C">
        <w:rPr>
          <w:b/>
          <w:bCs/>
        </w:rPr>
        <w:t xml:space="preserve">dle §6 odst. 1 </w:t>
      </w:r>
      <w:r>
        <w:rPr>
          <w:bCs/>
        </w:rPr>
        <w:t xml:space="preserve">(resp. 3) vyhlášky č.264/2020 Sb. (nikoliv </w:t>
      </w:r>
      <w:proofErr w:type="spellStart"/>
      <w:r>
        <w:rPr>
          <w:bCs/>
        </w:rPr>
        <w:t>nZEB</w:t>
      </w:r>
      <w:proofErr w:type="spellEnd"/>
      <w:r>
        <w:rPr>
          <w:bCs/>
        </w:rPr>
        <w:t xml:space="preserve"> –20 %, ale stačí </w:t>
      </w:r>
      <w:proofErr w:type="spellStart"/>
      <w:r>
        <w:rPr>
          <w:bCs/>
        </w:rPr>
        <w:t>nZEB</w:t>
      </w:r>
      <w:proofErr w:type="spellEnd"/>
      <w:r>
        <w:rPr>
          <w:bCs/>
        </w:rPr>
        <w:t xml:space="preserve"> dle legislativy)</w:t>
      </w:r>
    </w:p>
    <w:p w14:paraId="02A78596" w14:textId="77777777" w:rsidR="00C94608" w:rsidRPr="00486C99" w:rsidRDefault="00C94608" w:rsidP="00C94608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</w:rPr>
      </w:pPr>
      <w:r w:rsidRPr="00486C99">
        <w:rPr>
          <w:rFonts w:ascii="Arial" w:hAnsi="Arial" w:cs="Arial"/>
          <w:bCs/>
        </w:rPr>
        <w:t>Změna dokončené budovy, pokud stávající budova nemá žádnou celkovou energeticky vztažnou plochu (není vytápěna/chlazena), musí být při výstavbě dle § 6 odst. 3 vyhlášky splněny požadavky pro budovu s téměř nulovou spotřebou energie.</w:t>
      </w:r>
    </w:p>
    <w:p w14:paraId="6FBC8DBA" w14:textId="77777777" w:rsidR="00C94608" w:rsidRPr="00486C99" w:rsidRDefault="00C94608" w:rsidP="00C94608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</w:rPr>
      </w:pPr>
      <w:r w:rsidRPr="00486C99">
        <w:rPr>
          <w:rFonts w:ascii="Arial" w:hAnsi="Arial" w:cs="Arial"/>
          <w:bCs/>
        </w:rPr>
        <w:t>V případě změny dokončené budovy, kdy se celková energeticky vztažná plocha rozšiřuje na nejméně dvouapůlnásobek původní celkové energeticky vztažné plochy, musí být dle § 6 odst. 3 vyhlášky splněny požadavky pro budovu s téměř nulovou spotřebou energie.</w:t>
      </w:r>
    </w:p>
    <w:p w14:paraId="2F96084B" w14:textId="77777777" w:rsidR="00C94608" w:rsidRPr="00833710" w:rsidRDefault="00C94608" w:rsidP="00C94608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</w:rPr>
      </w:pPr>
      <w:r w:rsidRPr="00486C99">
        <w:rPr>
          <w:rFonts w:ascii="Arial" w:hAnsi="Arial" w:cs="Arial"/>
          <w:bCs/>
        </w:rPr>
        <w:t>Není-li v budově instalován zdroj tepla či chladu, nejedná se o budovu s upravovaným vnitřním prostředím. Velikost energeticky vztažné plochy určují prostory s upravovaným vnitřním prostředím. Pro tyto prostory musí existovat návrhová vnitřní teplota a být navržen technický systém pro její udržování. Pro budovy, které ve stavu před renovací neměli energeticky vztažnou plochu se pro účely energetického hodnocení, jedná o výstavbu nové budovy a vyžaduje se plnění požadavků dle § 7 odst. 1 zákona č. 406/2000 Sb.</w:t>
      </w:r>
    </w:p>
    <w:p w14:paraId="29C8E90F" w14:textId="77777777" w:rsidR="00C94608" w:rsidRDefault="00C94608" w:rsidP="00C94608">
      <w:pPr>
        <w:rPr>
          <w:b/>
          <w:bCs/>
        </w:rPr>
      </w:pPr>
    </w:p>
    <w:p w14:paraId="1BA1A6B0" w14:textId="77777777" w:rsidR="00C94608" w:rsidRPr="00B63F82" w:rsidRDefault="00C94608" w:rsidP="00C94608">
      <w:pPr>
        <w:rPr>
          <w:b/>
          <w:bCs/>
        </w:rPr>
      </w:pPr>
      <w:r>
        <w:rPr>
          <w:b/>
          <w:bCs/>
        </w:rPr>
        <w:t>Technické požadavky renovace</w:t>
      </w:r>
    </w:p>
    <w:tbl>
      <w:tblPr>
        <w:tblStyle w:val="Mkatabulky"/>
        <w:tblW w:w="5000" w:type="pct"/>
        <w:jc w:val="center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380"/>
        <w:gridCol w:w="1841"/>
        <w:gridCol w:w="1841"/>
      </w:tblGrid>
      <w:tr w:rsidR="00C94608" w:rsidRPr="00EF0899" w14:paraId="79476DE0" w14:textId="77777777" w:rsidTr="004260F5">
        <w:trPr>
          <w:trHeight w:val="362"/>
          <w:jc w:val="center"/>
        </w:trPr>
        <w:tc>
          <w:tcPr>
            <w:tcW w:w="2968" w:type="pct"/>
            <w:tcBorders>
              <w:bottom w:val="single" w:sz="4" w:space="0" w:color="auto"/>
            </w:tcBorders>
            <w:shd w:val="clear" w:color="auto" w:fill="ACB9CA" w:themeFill="text2" w:themeFillTint="66"/>
            <w:vAlign w:val="center"/>
          </w:tcPr>
          <w:p w14:paraId="2384774B" w14:textId="77777777" w:rsidR="00C94608" w:rsidRPr="004B29B4" w:rsidRDefault="00C94608" w:rsidP="004260F5">
            <w:pPr>
              <w:rPr>
                <w:b/>
              </w:rPr>
            </w:pPr>
            <w:r>
              <w:rPr>
                <w:b/>
              </w:rPr>
              <w:t>Sledovaný ukazatel</w:t>
            </w:r>
          </w:p>
        </w:tc>
        <w:tc>
          <w:tcPr>
            <w:tcW w:w="1016" w:type="pct"/>
            <w:tcBorders>
              <w:bottom w:val="single" w:sz="4" w:space="0" w:color="auto"/>
            </w:tcBorders>
            <w:shd w:val="clear" w:color="auto" w:fill="ACB9CA" w:themeFill="text2" w:themeFillTint="66"/>
            <w:vAlign w:val="center"/>
          </w:tcPr>
          <w:p w14:paraId="2BE14B6B" w14:textId="77777777" w:rsidR="00C94608" w:rsidRPr="004B29B4" w:rsidRDefault="00C94608" w:rsidP="004260F5">
            <w:pPr>
              <w:jc w:val="center"/>
              <w:rPr>
                <w:b/>
              </w:rPr>
            </w:pPr>
            <w:r>
              <w:rPr>
                <w:b/>
              </w:rPr>
              <w:t>Budovy bez památkové ochrany</w:t>
            </w:r>
          </w:p>
        </w:tc>
        <w:tc>
          <w:tcPr>
            <w:tcW w:w="1016" w:type="pct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7D17132C" w14:textId="77777777" w:rsidR="00C94608" w:rsidRDefault="00C94608" w:rsidP="004260F5">
            <w:pPr>
              <w:jc w:val="center"/>
              <w:rPr>
                <w:b/>
              </w:rPr>
            </w:pPr>
            <w:r>
              <w:rPr>
                <w:b/>
              </w:rPr>
              <w:t>Budovy s památkovou ochranou</w:t>
            </w:r>
          </w:p>
        </w:tc>
      </w:tr>
      <w:tr w:rsidR="00C94608" w:rsidRPr="00EF0899" w14:paraId="59038889" w14:textId="77777777" w:rsidTr="004260F5">
        <w:trPr>
          <w:trHeight w:val="362"/>
          <w:jc w:val="center"/>
        </w:trPr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F23FC" w14:textId="77777777" w:rsidR="00C94608" w:rsidRPr="00EF0899" w:rsidRDefault="00C94608" w:rsidP="004260F5">
            <w:pPr>
              <w:rPr>
                <w:i/>
              </w:rPr>
            </w:pPr>
            <w:r w:rsidRPr="00EF0899">
              <w:t>Úspora primární energie z neobnovitelných zdrojů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44CE5" w14:textId="77777777" w:rsidR="00C94608" w:rsidRPr="00EF0899" w:rsidRDefault="00C94608" w:rsidP="004260F5">
            <w:pPr>
              <w:jc w:val="center"/>
            </w:pPr>
            <w:r w:rsidRPr="00EF0899">
              <w:t>≥ 30 %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6B892" w14:textId="77777777" w:rsidR="00C94608" w:rsidRPr="00EF0899" w:rsidRDefault="00C94608" w:rsidP="004260F5">
            <w:pPr>
              <w:jc w:val="center"/>
            </w:pPr>
            <w:r w:rsidRPr="00EF0899">
              <w:t xml:space="preserve">≥ </w:t>
            </w:r>
            <w:r>
              <w:t>10</w:t>
            </w:r>
            <w:r w:rsidRPr="00EF0899">
              <w:t xml:space="preserve"> %</w:t>
            </w:r>
          </w:p>
        </w:tc>
      </w:tr>
      <w:tr w:rsidR="00C94608" w:rsidRPr="00EF0899" w14:paraId="0E468658" w14:textId="77777777" w:rsidTr="004260F5">
        <w:trPr>
          <w:trHeight w:val="362"/>
          <w:jc w:val="center"/>
        </w:trPr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E541" w14:textId="77777777" w:rsidR="00C94608" w:rsidRPr="00EF0899" w:rsidRDefault="00C94608" w:rsidP="004260F5">
            <w:r w:rsidRPr="00EF0899">
              <w:t>Součinitel prostupu tepla pro měněné stavební prvky vyjma oken, na něž se vztahuje podpora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E79F" w14:textId="77777777" w:rsidR="00C94608" w:rsidRPr="00D7242A" w:rsidRDefault="00C94608" w:rsidP="004260F5">
            <w:pPr>
              <w:jc w:val="center"/>
            </w:pPr>
            <w:r w:rsidRPr="00EF0899">
              <w:t xml:space="preserve">≤ 0,60 x </w:t>
            </w:r>
            <w:proofErr w:type="spellStart"/>
            <w:r w:rsidRPr="00EF0899">
              <w:t>U</w:t>
            </w:r>
            <w:r w:rsidRPr="00EF0899">
              <w:rPr>
                <w:vertAlign w:val="subscript"/>
              </w:rPr>
              <w:t>R</w:t>
            </w:r>
            <w:r>
              <w:rPr>
                <w:vertAlign w:val="subscript"/>
              </w:rPr>
              <w:t>,j</w:t>
            </w:r>
            <w:proofErr w:type="spellEnd"/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A617" w14:textId="77777777" w:rsidR="00C94608" w:rsidRPr="00EF0899" w:rsidRDefault="00C94608" w:rsidP="004260F5">
            <w:pPr>
              <w:jc w:val="center"/>
            </w:pPr>
            <w:r w:rsidRPr="00EF0899">
              <w:t>≤</w:t>
            </w:r>
            <w:r>
              <w:t xml:space="preserve"> </w:t>
            </w:r>
            <w:proofErr w:type="spellStart"/>
            <w:r>
              <w:t>U</w:t>
            </w:r>
            <w:r w:rsidRPr="00EF0899">
              <w:rPr>
                <w:vertAlign w:val="subscript"/>
              </w:rPr>
              <w:t>R</w:t>
            </w:r>
            <w:r>
              <w:rPr>
                <w:vertAlign w:val="subscript"/>
              </w:rPr>
              <w:t>,j</w:t>
            </w:r>
            <w:proofErr w:type="spellEnd"/>
          </w:p>
        </w:tc>
      </w:tr>
      <w:tr w:rsidR="00C94608" w:rsidRPr="00EF0899" w14:paraId="62C35EBC" w14:textId="77777777" w:rsidTr="004260F5">
        <w:trPr>
          <w:trHeight w:val="362"/>
          <w:jc w:val="center"/>
        </w:trPr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C841C" w14:textId="77777777" w:rsidR="00C94608" w:rsidRPr="00EF0899" w:rsidRDefault="00C94608" w:rsidP="004260F5">
            <w:r w:rsidRPr="00EF0899">
              <w:t>Součinitel prostupu tepla oken, na něž se vztahuje podpora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4EB1C" w14:textId="77777777" w:rsidR="00C94608" w:rsidRPr="00BE1923" w:rsidRDefault="00C94608" w:rsidP="004260F5">
            <w:pPr>
              <w:jc w:val="center"/>
            </w:pPr>
            <w:r w:rsidRPr="00EF0899">
              <w:t xml:space="preserve">≤ 0,60 x </w:t>
            </w:r>
            <w:proofErr w:type="spellStart"/>
            <w:r w:rsidRPr="00EF0899">
              <w:t>U</w:t>
            </w:r>
            <w:r w:rsidRPr="00EF0899">
              <w:rPr>
                <w:vertAlign w:val="subscript"/>
              </w:rPr>
              <w:t>R</w:t>
            </w:r>
            <w:r>
              <w:rPr>
                <w:vertAlign w:val="subscript"/>
              </w:rPr>
              <w:t>,j</w:t>
            </w:r>
            <w:proofErr w:type="spellEnd"/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C48D8" w14:textId="77777777" w:rsidR="00C94608" w:rsidRPr="00EF0899" w:rsidRDefault="00C94608" w:rsidP="004260F5">
            <w:pPr>
              <w:jc w:val="center"/>
            </w:pPr>
            <w:r w:rsidRPr="00EF0899">
              <w:t>≤</w:t>
            </w:r>
            <w:r>
              <w:t xml:space="preserve"> </w:t>
            </w:r>
            <w:proofErr w:type="spellStart"/>
            <w:r>
              <w:t>U</w:t>
            </w:r>
            <w:r w:rsidRPr="00EF0899">
              <w:rPr>
                <w:vertAlign w:val="subscript"/>
              </w:rPr>
              <w:t>R</w:t>
            </w:r>
            <w:r>
              <w:rPr>
                <w:vertAlign w:val="subscript"/>
              </w:rPr>
              <w:t>,j</w:t>
            </w:r>
            <w:proofErr w:type="spellEnd"/>
          </w:p>
        </w:tc>
      </w:tr>
      <w:tr w:rsidR="00C94608" w:rsidRPr="00EF0899" w14:paraId="6BC40D85" w14:textId="77777777" w:rsidTr="004260F5">
        <w:trPr>
          <w:trHeight w:val="737"/>
          <w:jc w:val="center"/>
        </w:trPr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2B15" w14:textId="77777777" w:rsidR="00C94608" w:rsidRPr="00EF0899" w:rsidRDefault="00C94608" w:rsidP="004260F5">
            <w:r w:rsidRPr="00EF0899">
              <w:t>Nejvyšší denní teplota vzduchu v místnosti v letním období pro nevýrobní objekty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CE32" w14:textId="77777777" w:rsidR="00C94608" w:rsidRPr="00D7242A" w:rsidRDefault="00C94608" w:rsidP="004260F5">
            <w:pPr>
              <w:jc w:val="center"/>
            </w:pPr>
            <w:r w:rsidRPr="00EF0899">
              <w:t xml:space="preserve">≤ </w:t>
            </w:r>
            <w:proofErr w:type="spellStart"/>
            <w:r w:rsidRPr="00EF0899">
              <w:t>Ɵ</w:t>
            </w:r>
            <w:r w:rsidRPr="00EF0899">
              <w:rPr>
                <w:vertAlign w:val="subscript"/>
              </w:rPr>
              <w:t>op,max,RQ</w:t>
            </w:r>
            <w:proofErr w:type="spellEnd"/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640E3" w14:textId="77777777" w:rsidR="00C94608" w:rsidRPr="00A6078F" w:rsidRDefault="00C94608" w:rsidP="004260F5">
            <w:pPr>
              <w:jc w:val="center"/>
            </w:pPr>
            <w:r w:rsidRPr="00EF0899">
              <w:t xml:space="preserve">≤ </w:t>
            </w:r>
            <w:proofErr w:type="spellStart"/>
            <w:r w:rsidRPr="00EF0899">
              <w:t>Ɵ</w:t>
            </w:r>
            <w:r w:rsidRPr="00EF0899">
              <w:rPr>
                <w:vertAlign w:val="subscript"/>
              </w:rPr>
              <w:t>op,max,RQ</w:t>
            </w:r>
            <w:proofErr w:type="spellEnd"/>
            <w:r>
              <w:t xml:space="preserve"> *</w:t>
            </w:r>
          </w:p>
        </w:tc>
      </w:tr>
    </w:tbl>
    <w:p w14:paraId="5B4784FA" w14:textId="77777777" w:rsidR="00C94608" w:rsidRDefault="00C94608" w:rsidP="00C94608">
      <w:pPr>
        <w:rPr>
          <w:i/>
        </w:rPr>
      </w:pPr>
      <w:r>
        <w:rPr>
          <w:i/>
        </w:rPr>
        <w:t>* nebrání-li tomu závazné požadavky památkové ochrany</w:t>
      </w:r>
    </w:p>
    <w:p w14:paraId="61C546C1" w14:textId="77777777" w:rsidR="00C94608" w:rsidRDefault="00C94608" w:rsidP="00C94608">
      <w:pPr>
        <w:rPr>
          <w:b/>
        </w:rPr>
      </w:pPr>
      <w:r>
        <w:rPr>
          <w:i/>
        </w:rPr>
        <w:t xml:space="preserve">Poznámka: </w:t>
      </w:r>
      <w:proofErr w:type="spellStart"/>
      <w:r w:rsidRPr="00D61FAE">
        <w:rPr>
          <w:i/>
        </w:rPr>
        <w:t>U</w:t>
      </w:r>
      <w:r w:rsidRPr="00D61FAE">
        <w:rPr>
          <w:i/>
          <w:vertAlign w:val="subscript"/>
        </w:rPr>
        <w:t>R,j</w:t>
      </w:r>
      <w:proofErr w:type="spellEnd"/>
      <w:r w:rsidRPr="00D7242A" w:rsidDel="00BE1923">
        <w:rPr>
          <w:i/>
        </w:rPr>
        <w:t xml:space="preserve"> </w:t>
      </w:r>
      <w:r>
        <w:rPr>
          <w:i/>
        </w:rPr>
        <w:t>dle Přílohy č.1 odst. 6 vyhlášky č.264/2020 Sb. (hodnota vychází z </w:t>
      </w:r>
      <w:r w:rsidRPr="001A5EA3">
        <w:rPr>
          <w:i/>
        </w:rPr>
        <w:t>U</w:t>
      </w:r>
      <w:r>
        <w:rPr>
          <w:i/>
          <w:vertAlign w:val="subscript"/>
        </w:rPr>
        <w:t>N,20,j</w:t>
      </w:r>
      <w:r>
        <w:rPr>
          <w:i/>
        </w:rPr>
        <w:t xml:space="preserve"> dle ČSN 730540-2, tedy požadované hodnoty součinitele prostupu tepla)</w:t>
      </w:r>
    </w:p>
    <w:p w14:paraId="68385571" w14:textId="77777777" w:rsidR="00C94608" w:rsidRDefault="00C94608" w:rsidP="00C94608">
      <w:pPr>
        <w:rPr>
          <w:b/>
        </w:rPr>
      </w:pPr>
    </w:p>
    <w:p w14:paraId="5432CF81" w14:textId="77777777" w:rsidR="00C94608" w:rsidRPr="0039216D" w:rsidRDefault="00C94608" w:rsidP="00C94608">
      <w:pPr>
        <w:rPr>
          <w:b/>
        </w:rPr>
      </w:pPr>
      <w:r w:rsidRPr="0039216D">
        <w:rPr>
          <w:b/>
        </w:rPr>
        <w:t xml:space="preserve">Popis </w:t>
      </w:r>
      <w:r>
        <w:rPr>
          <w:b/>
        </w:rPr>
        <w:t>ukazatelů</w:t>
      </w:r>
    </w:p>
    <w:p w14:paraId="3C4F6094" w14:textId="77777777" w:rsidR="00C94608" w:rsidRDefault="00C94608" w:rsidP="00C94608">
      <w:pPr>
        <w:spacing w:before="100" w:beforeAutospacing="1" w:after="0"/>
      </w:pPr>
      <w:r w:rsidRPr="006E464E">
        <w:rPr>
          <w:b/>
        </w:rPr>
        <w:t xml:space="preserve">Úspora primární energie z neobnovitelných zdrojů </w:t>
      </w:r>
      <w:r w:rsidRPr="00870AD2">
        <w:t xml:space="preserve">je základním technickým kritériem definujícím rozsah navržených energeticky úsporných opatření. Pro dílčí renovace je nastavena na úrovni 30 %. </w:t>
      </w:r>
      <w:r>
        <w:t>O</w:t>
      </w:r>
      <w:r w:rsidRPr="00870AD2">
        <w:t xml:space="preserve">dpovídá středně rozsáhlým renovacím dle </w:t>
      </w:r>
      <w:proofErr w:type="spellStart"/>
      <w:r>
        <w:t>t</w:t>
      </w:r>
      <w:r w:rsidRPr="00870AD2">
        <w:t>axonom</w:t>
      </w:r>
      <w:r>
        <w:t>etrie</w:t>
      </w:r>
      <w:proofErr w:type="spellEnd"/>
      <w:r w:rsidRPr="00870AD2">
        <w:t xml:space="preserve">. </w:t>
      </w:r>
      <w:r>
        <w:t xml:space="preserve">Hodnota je realizovatelnou úsporou bez nutnosti úpravy obálky budovy. </w:t>
      </w:r>
      <w:r w:rsidRPr="00870AD2">
        <w:t xml:space="preserve">Stanovuje se na základě </w:t>
      </w:r>
      <w:r w:rsidRPr="00870AD2">
        <w:lastRenderedPageBreak/>
        <w:t>energetického posudku</w:t>
      </w:r>
      <w:r>
        <w:t xml:space="preserve"> d</w:t>
      </w:r>
      <w:r w:rsidRPr="00870AD2">
        <w:t xml:space="preserve">le vyhlášky č. 141/2021 Sb. porovnáním výchozího stavu energetického posudku a stavem po realizaci navržených opatření. </w:t>
      </w:r>
      <w:r w:rsidRPr="00D61FAE">
        <w:t>Výchozí stav energetického posudku se sta</w:t>
      </w:r>
      <w:r>
        <w:t>no</w:t>
      </w:r>
      <w:r w:rsidRPr="00D61FAE">
        <w:t xml:space="preserve">vuje dle </w:t>
      </w:r>
      <w:r>
        <w:t>Přílohy č. 3 části 3 odst. 1 vyhlášky č.141/2021 Sb. přednostně na základě historie spotřeby energie stanovené měřením na základě účetních dokladů s možností normalizace relevantních proměnných. Pokud pro danou budovu není k dispozici historie spotřeby energie, postupuje se porovnáním s referenčním stavem definovaným programem podpory. Referenční stav vychází z průkazu energetické náročnosti budovy pro stav po realizaci navržených opatření (typický profil užívání) se zohledněním konstrukcí stávajícího stavu budovy a stávajících technických systémů budovy. Nově realizované konstrukce přístaveb a nástaveb budou nezměněny.</w:t>
      </w:r>
    </w:p>
    <w:p w14:paraId="4C38EA00" w14:textId="77777777" w:rsidR="00C94608" w:rsidRDefault="00C94608" w:rsidP="00C94608"/>
    <w:p w14:paraId="3E75F2D8" w14:textId="77777777" w:rsidR="00C94608" w:rsidRDefault="00C94608" w:rsidP="00C94608">
      <w:r w:rsidRPr="006E464E">
        <w:rPr>
          <w:b/>
        </w:rPr>
        <w:t xml:space="preserve">Dílčí součinitele prostupu tepla </w:t>
      </w:r>
      <w:proofErr w:type="spellStart"/>
      <w:r w:rsidRPr="006E464E">
        <w:rPr>
          <w:b/>
        </w:rPr>
        <w:t>U</w:t>
      </w:r>
      <w:r w:rsidRPr="006E464E">
        <w:rPr>
          <w:b/>
          <w:vertAlign w:val="subscript"/>
        </w:rPr>
        <w:t>R,j</w:t>
      </w:r>
      <w:proofErr w:type="spellEnd"/>
      <w:r>
        <w:rPr>
          <w:b/>
          <w:vertAlign w:val="subscript"/>
        </w:rPr>
        <w:t xml:space="preserve"> </w:t>
      </w:r>
      <w:r w:rsidRPr="009B79EE">
        <w:t>–</w:t>
      </w:r>
      <w:r>
        <w:t xml:space="preserve"> je kvalitativním kritériem realizace jednotlivých konstrukcí obálky budovy. Hodnota je </w:t>
      </w:r>
      <w:r w:rsidRPr="009B79EE">
        <w:t xml:space="preserve">referenční hodnotu </w:t>
      </w:r>
      <w:proofErr w:type="spellStart"/>
      <w:r w:rsidRPr="009B79EE">
        <w:t>U</w:t>
      </w:r>
      <w:r w:rsidRPr="006E464E">
        <w:rPr>
          <w:vertAlign w:val="subscript"/>
        </w:rPr>
        <w:t>R,j</w:t>
      </w:r>
      <w:proofErr w:type="spellEnd"/>
      <w:r>
        <w:t xml:space="preserve"> dle vyhlášky č.264/2020 Sb. (příloha č.1 odst. 6), která </w:t>
      </w:r>
      <w:r w:rsidRPr="00D61FAE">
        <w:t>vychází z U</w:t>
      </w:r>
      <w:r w:rsidRPr="006E464E">
        <w:rPr>
          <w:vertAlign w:val="subscript"/>
        </w:rPr>
        <w:t xml:space="preserve">N,20,j </w:t>
      </w:r>
      <w:r w:rsidRPr="00D61FAE">
        <w:t>dle ČSN 730540-2, tedy požadované hodnoty součinitele prostupu tepla</w:t>
      </w:r>
      <w:r>
        <w:t>.</w:t>
      </w:r>
    </w:p>
    <w:p w14:paraId="4DF21113" w14:textId="77777777" w:rsidR="00C94608" w:rsidRDefault="00C94608" w:rsidP="00C94608">
      <w:r w:rsidRPr="006E464E">
        <w:rPr>
          <w:b/>
        </w:rPr>
        <w:t>Nejvyšší denní teplota vzduchu v místnosti v letním období –</w:t>
      </w:r>
      <w:r w:rsidRPr="008F6B3D">
        <w:t xml:space="preserve"> jedná se kritérium definované </w:t>
      </w:r>
      <w:r>
        <w:t xml:space="preserve">na základě požadavku vyhlášky č. 268/2009 Sb. o technických požadavcích na stavby a zde odkázané </w:t>
      </w:r>
      <w:r w:rsidRPr="008F6B3D">
        <w:t>ČSN 730540-2. Cílem je zajistit kvalitní vnitřní prostředí v budovách a zabránit riziku přehřívání</w:t>
      </w:r>
      <w:r>
        <w:t xml:space="preserve"> vnitřních prostor</w:t>
      </w:r>
      <w:r w:rsidRPr="008F6B3D">
        <w:t>.</w:t>
      </w:r>
      <w:r>
        <w:t xml:space="preserve"> Definuje kvalitu vnitřního prostředí, která je ve stavební praxi často přehlížena.</w:t>
      </w:r>
    </w:p>
    <w:p w14:paraId="5A85E01D" w14:textId="77777777" w:rsidR="00C94608" w:rsidRPr="009B79EE" w:rsidRDefault="00C94608" w:rsidP="00C94608"/>
    <w:p w14:paraId="5CF3AD0C" w14:textId="77777777" w:rsidR="00C94608" w:rsidRPr="006E464E" w:rsidRDefault="00C94608" w:rsidP="00C94608">
      <w:pPr>
        <w:pStyle w:val="Nadpis1"/>
      </w:pPr>
      <w:bookmarkStart w:id="22" w:name="_Toc107393364"/>
      <w:bookmarkStart w:id="23" w:name="_Toc113880717"/>
      <w:bookmarkStart w:id="24" w:name="_Toc113881593"/>
      <w:r w:rsidRPr="006E464E">
        <w:t>Prokázání splnění podmínek DNSH</w:t>
      </w:r>
      <w:bookmarkEnd w:id="22"/>
      <w:bookmarkEnd w:id="23"/>
      <w:bookmarkEnd w:id="24"/>
    </w:p>
    <w:p w14:paraId="0B429083" w14:textId="77777777" w:rsidR="00C94608" w:rsidRPr="00D61FAE" w:rsidRDefault="00C94608" w:rsidP="00C94608">
      <w:pPr>
        <w:spacing w:before="240"/>
      </w:pPr>
      <w:r>
        <w:t xml:space="preserve">Příjemce bude povinen po dokončení stavební části nejpozději však v závěrečné monitorovací zprávě předložit reportovací </w:t>
      </w:r>
      <w:r w:rsidRPr="006E464E">
        <w:t>list (příloha č. 2), v rámci,</w:t>
      </w:r>
      <w:r>
        <w:t xml:space="preserve"> kterého bude zhodnoceno dodržení principu významně nepoškozovat. Žadatelům/příjemcům je doporučováno, aby přenesli některé povinnosti vyplývající z této metodiky na dodavatele a mohli tak řádně prokázat plnění DNSH prostřednictvím </w:t>
      </w:r>
      <w:r w:rsidRPr="00413FC1">
        <w:t>reportovacího listu (včetně nezbytných příloh).</w:t>
      </w:r>
    </w:p>
    <w:p w14:paraId="13AE9B54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6"/>
        </w:numPr>
        <w:suppressAutoHyphens w:val="0"/>
        <w:autoSpaceDE w:val="0"/>
        <w:spacing w:after="0"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2D2EC3">
        <w:rPr>
          <w:rFonts w:ascii="Arial" w:hAnsi="Arial" w:cs="Arial"/>
          <w:b/>
          <w:bCs/>
          <w:szCs w:val="20"/>
        </w:rPr>
        <w:t>Cíl zmírňování klimatu</w:t>
      </w:r>
    </w:p>
    <w:p w14:paraId="2C899FA9" w14:textId="77777777" w:rsidR="00C94608" w:rsidRDefault="00C94608" w:rsidP="00C94608">
      <w:pPr>
        <w:widowControl w:val="0"/>
        <w:autoSpaceDE w:val="0"/>
        <w:spacing w:after="0" w:line="240" w:lineRule="auto"/>
      </w:pPr>
    </w:p>
    <w:p w14:paraId="36BEEE70" w14:textId="77777777" w:rsidR="00C94608" w:rsidRDefault="00C94608" w:rsidP="00C94608">
      <w:pPr>
        <w:widowControl w:val="0"/>
        <w:autoSpaceDE w:val="0"/>
        <w:spacing w:after="0"/>
      </w:pPr>
      <w:r>
        <w:t>U tohoto cíle není nutné podrobnější zhodnocení, protože činnosti v rámci komponenty mají</w:t>
      </w:r>
      <w:r>
        <w:rPr>
          <w:spacing w:val="1"/>
        </w:rPr>
        <w:t xml:space="preserve"> </w:t>
      </w:r>
      <w:r>
        <w:t>nulový</w:t>
      </w:r>
      <w:r>
        <w:rPr>
          <w:spacing w:val="42"/>
        </w:rPr>
        <w:t xml:space="preserve"> </w:t>
      </w:r>
      <w:r>
        <w:t>nebo</w:t>
      </w:r>
      <w:r>
        <w:rPr>
          <w:spacing w:val="39"/>
        </w:rPr>
        <w:t xml:space="preserve"> </w:t>
      </w:r>
      <w:r>
        <w:t>zanedbatelný</w:t>
      </w:r>
      <w:r>
        <w:rPr>
          <w:spacing w:val="42"/>
        </w:rPr>
        <w:t xml:space="preserve"> </w:t>
      </w:r>
      <w:r>
        <w:t>vliv</w:t>
      </w:r>
      <w:r>
        <w:rPr>
          <w:spacing w:val="42"/>
        </w:rPr>
        <w:t xml:space="preserve"> </w:t>
      </w:r>
      <w:r>
        <w:t>na</w:t>
      </w:r>
      <w:r>
        <w:rPr>
          <w:spacing w:val="41"/>
        </w:rPr>
        <w:t xml:space="preserve"> </w:t>
      </w:r>
      <w:r>
        <w:t>cíl.</w:t>
      </w:r>
      <w:r>
        <w:rPr>
          <w:spacing w:val="37"/>
        </w:rPr>
        <w:t xml:space="preserve"> </w:t>
      </w:r>
      <w:r>
        <w:t>DNSH</w:t>
      </w:r>
      <w:r>
        <w:rPr>
          <w:spacing w:val="41"/>
        </w:rPr>
        <w:t xml:space="preserve"> </w:t>
      </w:r>
      <w:r>
        <w:t>doporučujeme</w:t>
      </w:r>
      <w:r>
        <w:rPr>
          <w:spacing w:val="42"/>
        </w:rPr>
        <w:t xml:space="preserve"> </w:t>
      </w:r>
      <w:r>
        <w:t>odůvodnit</w:t>
      </w:r>
      <w:r>
        <w:rPr>
          <w:spacing w:val="40"/>
        </w:rPr>
        <w:t xml:space="preserve"> </w:t>
      </w:r>
      <w:r>
        <w:t>jednoduše,</w:t>
      </w:r>
      <w:r>
        <w:rPr>
          <w:spacing w:val="42"/>
        </w:rPr>
        <w:t xml:space="preserve"> </w:t>
      </w:r>
      <w:r>
        <w:t>ideálně</w:t>
      </w:r>
      <w:r>
        <w:rPr>
          <w:spacing w:val="-52"/>
        </w:rPr>
        <w:t xml:space="preserve"> </w:t>
      </w:r>
      <w:r>
        <w:t>s uvedením hodnot dosahovaných úspor, instalované kapacity či vyjádřením ušetřených kg/t</w:t>
      </w:r>
      <w:r>
        <w:rPr>
          <w:spacing w:val="1"/>
        </w:rPr>
        <w:t xml:space="preserve"> </w:t>
      </w:r>
      <w:r>
        <w:t>CO</w:t>
      </w:r>
      <w:r>
        <w:rPr>
          <w:vertAlign w:val="subscript"/>
        </w:rPr>
        <w:t>2</w:t>
      </w:r>
      <w:r>
        <w:rPr>
          <w:spacing w:val="-1"/>
        </w:rPr>
        <w:t xml:space="preserve"> </w:t>
      </w:r>
      <w:r>
        <w:t>za časovou</w:t>
      </w:r>
      <w:r>
        <w:rPr>
          <w:spacing w:val="-1"/>
        </w:rPr>
        <w:t xml:space="preserve"> </w:t>
      </w:r>
      <w:r>
        <w:t>jednotku.</w:t>
      </w:r>
    </w:p>
    <w:p w14:paraId="55CE0292" w14:textId="77777777" w:rsidR="00C94608" w:rsidRDefault="00C94608" w:rsidP="00C94608">
      <w:pPr>
        <w:widowControl w:val="0"/>
        <w:autoSpaceDE w:val="0"/>
        <w:spacing w:after="0"/>
      </w:pPr>
    </w:p>
    <w:p w14:paraId="5B458A9B" w14:textId="77777777" w:rsidR="00C94608" w:rsidRPr="002D2EC3" w:rsidRDefault="00C94608" w:rsidP="00C94608">
      <w:pPr>
        <w:pStyle w:val="Zkladntex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D2EC3">
        <w:rPr>
          <w:rFonts w:ascii="Arial" w:hAnsi="Arial" w:cs="Arial"/>
          <w:b/>
          <w:bCs/>
          <w:sz w:val="22"/>
          <w:szCs w:val="22"/>
        </w:rPr>
        <w:t>Výstavba</w:t>
      </w:r>
    </w:p>
    <w:p w14:paraId="15E347E9" w14:textId="77777777" w:rsidR="00C94608" w:rsidRPr="00BD3AC3" w:rsidRDefault="00C94608" w:rsidP="00C94608">
      <w:pPr>
        <w:spacing w:before="2"/>
        <w:ind w:right="106"/>
        <w:rPr>
          <w:iCs/>
        </w:rPr>
      </w:pPr>
      <w:r>
        <w:t xml:space="preserve">U novostaveb je potřeba deklarovat, že splňuje alespoň o 20 % nižší spotřebu primární energie (PED) než je požadavek na budovy s téměř nulovou spotřebou energie (novostavba odpovídá klasifikační třídě A – mimořádně úsporná v grafické části PENB). Součástí ohlášení je podklad o instalaci kapacity obnovitelné energie v hodnotách </w:t>
      </w:r>
      <w:proofErr w:type="spellStart"/>
      <w:r>
        <w:t>kWp</w:t>
      </w:r>
      <w:proofErr w:type="spellEnd"/>
      <w:r>
        <w:t>, které představují snížení skleníkových plynů v jednotkách kg/t/rok.</w:t>
      </w:r>
    </w:p>
    <w:p w14:paraId="4B4A62D3" w14:textId="77777777" w:rsidR="00C94608" w:rsidRPr="000C4208" w:rsidRDefault="00C94608" w:rsidP="00C94608">
      <w:pPr>
        <w:spacing w:before="2"/>
        <w:ind w:right="106"/>
        <w:rPr>
          <w:iCs/>
        </w:rPr>
      </w:pPr>
      <w:r>
        <w:rPr>
          <w:iCs/>
        </w:rPr>
        <w:t>Dále je možné popsat jednotlivé zavedené aktivity, které k dosažení požadavků povedou, například:</w:t>
      </w:r>
    </w:p>
    <w:p w14:paraId="3CE33A66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7"/>
        </w:numPr>
        <w:autoSpaceDE w:val="0"/>
        <w:spacing w:after="0" w:line="240" w:lineRule="auto"/>
        <w:rPr>
          <w:rFonts w:ascii="Arial" w:hAnsi="Arial" w:cs="Arial"/>
        </w:rPr>
      </w:pPr>
      <w:r w:rsidRPr="002D2EC3">
        <w:rPr>
          <w:rFonts w:ascii="Arial" w:hAnsi="Arial" w:cs="Arial"/>
        </w:rPr>
        <w:t>zavedení systému energetického managementu,</w:t>
      </w:r>
    </w:p>
    <w:p w14:paraId="7444303F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7"/>
        </w:numPr>
        <w:autoSpaceDE w:val="0"/>
        <w:spacing w:after="0" w:line="240" w:lineRule="auto"/>
        <w:rPr>
          <w:rFonts w:ascii="Arial" w:hAnsi="Arial" w:cs="Arial"/>
        </w:rPr>
      </w:pPr>
      <w:r w:rsidRPr="002D2EC3">
        <w:rPr>
          <w:rFonts w:ascii="Arial" w:hAnsi="Arial" w:cs="Arial"/>
        </w:rPr>
        <w:t>je instalována FVE (fotovoltaická elektrárna) nebo jiný obnovitelný zdroj,</w:t>
      </w:r>
    </w:p>
    <w:p w14:paraId="76FBCEE1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7"/>
        </w:numPr>
        <w:autoSpaceDE w:val="0"/>
        <w:spacing w:after="0" w:line="240" w:lineRule="auto"/>
        <w:rPr>
          <w:rFonts w:ascii="Arial" w:hAnsi="Arial" w:cs="Arial"/>
        </w:rPr>
      </w:pPr>
      <w:r w:rsidRPr="002D2EC3">
        <w:rPr>
          <w:rFonts w:ascii="Arial" w:hAnsi="Arial" w:cs="Arial"/>
        </w:rPr>
        <w:lastRenderedPageBreak/>
        <w:t>jsou instalována okna s trojskly,</w:t>
      </w:r>
    </w:p>
    <w:p w14:paraId="353C8074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7"/>
        </w:numPr>
        <w:autoSpaceDE w:val="0"/>
        <w:spacing w:after="0" w:line="240" w:lineRule="auto"/>
        <w:rPr>
          <w:rFonts w:ascii="Arial" w:hAnsi="Arial" w:cs="Arial"/>
        </w:rPr>
      </w:pPr>
      <w:r w:rsidRPr="002D2EC3">
        <w:rPr>
          <w:rFonts w:ascii="Arial" w:hAnsi="Arial" w:cs="Arial"/>
        </w:rPr>
        <w:t>atd.</w:t>
      </w:r>
    </w:p>
    <w:p w14:paraId="6D18BF93" w14:textId="77777777" w:rsidR="00C94608" w:rsidRDefault="00C94608" w:rsidP="00C94608">
      <w:pPr>
        <w:widowControl w:val="0"/>
        <w:autoSpaceDE w:val="0"/>
        <w:spacing w:after="0" w:line="240" w:lineRule="auto"/>
      </w:pPr>
    </w:p>
    <w:p w14:paraId="697A57A5" w14:textId="77777777" w:rsidR="00C94608" w:rsidRDefault="00C94608" w:rsidP="00C94608">
      <w:pPr>
        <w:widowControl w:val="0"/>
        <w:autoSpaceDE w:val="0"/>
        <w:spacing w:after="0" w:line="240" w:lineRule="auto"/>
      </w:pPr>
      <w:r w:rsidRPr="002D2EC3">
        <w:t>Odůvodnění cíle zmírňování klimatu může být vyžadováno příjemcem dotace od projektanta nebo energetického specialisty.</w:t>
      </w:r>
    </w:p>
    <w:p w14:paraId="15814EDA" w14:textId="77777777" w:rsidR="00C94608" w:rsidRDefault="00C94608" w:rsidP="00C94608">
      <w:pPr>
        <w:widowControl w:val="0"/>
        <w:autoSpaceDE w:val="0"/>
        <w:spacing w:after="0" w:line="240" w:lineRule="auto"/>
        <w:rPr>
          <w:b/>
          <w:bCs/>
        </w:rPr>
      </w:pPr>
      <w:r w:rsidRPr="002D2EC3">
        <w:rPr>
          <w:b/>
          <w:bCs/>
        </w:rPr>
        <w:t>Energeticky úsporné renovace</w:t>
      </w:r>
    </w:p>
    <w:p w14:paraId="1CBAC8FB" w14:textId="77777777" w:rsidR="00C94608" w:rsidRPr="002D2EC3" w:rsidRDefault="00C94608" w:rsidP="00C94608">
      <w:pPr>
        <w:widowControl w:val="0"/>
        <w:autoSpaceDE w:val="0"/>
        <w:spacing w:after="0" w:line="240" w:lineRule="auto"/>
        <w:rPr>
          <w:b/>
          <w:bCs/>
        </w:rPr>
      </w:pPr>
    </w:p>
    <w:p w14:paraId="44BCF91C" w14:textId="77777777" w:rsidR="00C94608" w:rsidRDefault="00C94608" w:rsidP="00C94608">
      <w:pPr>
        <w:widowControl w:val="0"/>
        <w:autoSpaceDE w:val="0"/>
        <w:spacing w:after="0" w:line="240" w:lineRule="auto"/>
      </w:pPr>
      <w:r>
        <w:t>Míra renovace je závislá na hloubce úprav a předepsaném průměru minimální úspory primární neobnovitelné energie. Zmírnění produkce skleníkových plynů musí být sníženo průměrně alespoň o 30 % v porovnání s původními emisemi.</w:t>
      </w:r>
    </w:p>
    <w:p w14:paraId="20AD7C4B" w14:textId="77777777" w:rsidR="00C94608" w:rsidRDefault="00C94608" w:rsidP="00C94608">
      <w:pPr>
        <w:widowControl w:val="0"/>
        <w:autoSpaceDE w:val="0"/>
        <w:spacing w:after="0" w:line="240" w:lineRule="auto"/>
      </w:pPr>
    </w:p>
    <w:p w14:paraId="3A8609E9" w14:textId="77777777" w:rsidR="00C94608" w:rsidRPr="00AF21CB" w:rsidRDefault="00C94608" w:rsidP="00C94608">
      <w:pPr>
        <w:widowControl w:val="0"/>
        <w:autoSpaceDE w:val="0"/>
        <w:spacing w:after="0" w:line="240" w:lineRule="auto"/>
      </w:pPr>
      <w:r>
        <w:t xml:space="preserve">Při dokončení renovace je potřeba deklarovat průměrné snížení emisních skleníkových plynů v % v porovnání s původními emisemi před rekonstrukcí, výpis provedených opatření a uvedení změny energetické třídy budovy. Součástí ohlášení je podklad o instalaci kapacity obnovitelné energie v hodnotách </w:t>
      </w:r>
      <w:proofErr w:type="spellStart"/>
      <w:r>
        <w:t>kWp</w:t>
      </w:r>
      <w:proofErr w:type="spellEnd"/>
      <w:r>
        <w:t>, které představují snížení skleníkových plynů v jednotkách kg/t/rok.</w:t>
      </w:r>
    </w:p>
    <w:p w14:paraId="4337001E" w14:textId="77777777" w:rsidR="00C94608" w:rsidRDefault="00C94608" w:rsidP="00C94608">
      <w:pPr>
        <w:pStyle w:val="Odstavecseseznamem"/>
      </w:pPr>
    </w:p>
    <w:p w14:paraId="300C5BE3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6"/>
        </w:numPr>
        <w:suppressAutoHyphens w:val="0"/>
        <w:autoSpaceDE w:val="0"/>
        <w:spacing w:after="0" w:line="240" w:lineRule="auto"/>
        <w:jc w:val="both"/>
        <w:textAlignment w:val="auto"/>
        <w:rPr>
          <w:rFonts w:ascii="Arial" w:hAnsi="Arial" w:cs="Arial"/>
          <w:b/>
          <w:bCs/>
          <w:szCs w:val="20"/>
        </w:rPr>
      </w:pPr>
      <w:r w:rsidRPr="002D2EC3">
        <w:rPr>
          <w:rFonts w:ascii="Arial" w:hAnsi="Arial" w:cs="Arial"/>
          <w:b/>
          <w:bCs/>
          <w:szCs w:val="20"/>
        </w:rPr>
        <w:t>Cíl přizpůsobování se změně klimatu</w:t>
      </w:r>
    </w:p>
    <w:p w14:paraId="652DD6E6" w14:textId="77777777" w:rsidR="00C94608" w:rsidRDefault="00C94608" w:rsidP="00C94608"/>
    <w:p w14:paraId="2A9A21AE" w14:textId="77777777" w:rsidR="00C94608" w:rsidRDefault="00C94608" w:rsidP="00C94608">
      <w:pPr>
        <w:rPr>
          <w:b/>
          <w:bCs/>
          <w:iCs/>
        </w:rPr>
      </w:pPr>
      <w:r>
        <w:rPr>
          <w:b/>
          <w:bCs/>
          <w:iCs/>
        </w:rPr>
        <w:t>Kontext:</w:t>
      </w:r>
    </w:p>
    <w:p w14:paraId="760AC7CE" w14:textId="77777777" w:rsidR="00C94608" w:rsidRDefault="00C94608" w:rsidP="00C94608">
      <w:r>
        <w:t>Česká republika vyhodnocovala dopady změny klimatu na svém území v rámci zpracování Strategie přizpůsobení se změně klimatu v podmínkách ČR (dále jen Adaptační strategie), kdy byla vytvořena Komplexní studie dopadů, zranitelnosti a zdrojů rizik souvisejících se změnou klimatu v ČR (dále jen Komplexní studie dopadů). Tyto dokumenty obsahují zhodnocení pravděpodobnosti dopadů změn klimatu v jednotlivých oblastech zájmu a zároveň řadu adaptačních opatření.</w:t>
      </w:r>
    </w:p>
    <w:p w14:paraId="16A02180" w14:textId="77777777" w:rsidR="00C94608" w:rsidRPr="002D2EC3" w:rsidRDefault="00C94608" w:rsidP="00C94608">
      <w:pPr>
        <w:rPr>
          <w:rFonts w:cs="Arial"/>
        </w:rPr>
      </w:pPr>
      <w:r>
        <w:t xml:space="preserve">Za hlavní dopady změny klimatu, na které je potřeba se v podmínkách ČR adaptovat, byly </w:t>
      </w:r>
      <w:r w:rsidRPr="002D2EC3">
        <w:rPr>
          <w:rFonts w:cs="Arial"/>
        </w:rPr>
        <w:t>identifikovány:</w:t>
      </w:r>
    </w:p>
    <w:p w14:paraId="1831E220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11"/>
        </w:numPr>
        <w:suppressAutoHyphens w:val="0"/>
        <w:autoSpaceDE w:val="0"/>
        <w:spacing w:after="0" w:line="240" w:lineRule="auto"/>
        <w:jc w:val="both"/>
        <w:textAlignment w:val="auto"/>
        <w:rPr>
          <w:rFonts w:ascii="Arial" w:hAnsi="Arial" w:cs="Arial"/>
          <w:iCs/>
        </w:rPr>
      </w:pPr>
      <w:r w:rsidRPr="002D2EC3">
        <w:rPr>
          <w:rFonts w:ascii="Arial" w:hAnsi="Arial" w:cs="Arial"/>
          <w:iCs/>
        </w:rPr>
        <w:t>dlouhodobé sucho,</w:t>
      </w:r>
    </w:p>
    <w:p w14:paraId="4CBCA90F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11"/>
        </w:numPr>
        <w:suppressAutoHyphens w:val="0"/>
        <w:autoSpaceDE w:val="0"/>
        <w:spacing w:after="0" w:line="240" w:lineRule="auto"/>
        <w:jc w:val="both"/>
        <w:textAlignment w:val="auto"/>
        <w:rPr>
          <w:rFonts w:ascii="Arial" w:hAnsi="Arial" w:cs="Arial"/>
          <w:iCs/>
        </w:rPr>
      </w:pPr>
      <w:r w:rsidRPr="002D2EC3">
        <w:rPr>
          <w:rFonts w:ascii="Arial" w:hAnsi="Arial" w:cs="Arial"/>
          <w:iCs/>
        </w:rPr>
        <w:t>povodně a přívalové povodně,</w:t>
      </w:r>
    </w:p>
    <w:p w14:paraId="7CAE9091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11"/>
        </w:numPr>
        <w:suppressAutoHyphens w:val="0"/>
        <w:autoSpaceDE w:val="0"/>
        <w:spacing w:after="0" w:line="240" w:lineRule="auto"/>
        <w:jc w:val="both"/>
        <w:textAlignment w:val="auto"/>
        <w:rPr>
          <w:rFonts w:ascii="Arial" w:hAnsi="Arial" w:cs="Arial"/>
          <w:iCs/>
        </w:rPr>
      </w:pPr>
      <w:r w:rsidRPr="002D2EC3">
        <w:rPr>
          <w:rFonts w:ascii="Arial" w:hAnsi="Arial" w:cs="Arial"/>
          <w:iCs/>
        </w:rPr>
        <w:t>vydatné srážky,</w:t>
      </w:r>
    </w:p>
    <w:p w14:paraId="4FED0F00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11"/>
        </w:numPr>
        <w:suppressAutoHyphens w:val="0"/>
        <w:autoSpaceDE w:val="0"/>
        <w:spacing w:after="0" w:line="240" w:lineRule="auto"/>
        <w:jc w:val="both"/>
        <w:textAlignment w:val="auto"/>
        <w:rPr>
          <w:rFonts w:ascii="Arial" w:hAnsi="Arial" w:cs="Arial"/>
          <w:iCs/>
        </w:rPr>
      </w:pPr>
      <w:r w:rsidRPr="002D2EC3">
        <w:rPr>
          <w:rFonts w:ascii="Arial" w:hAnsi="Arial" w:cs="Arial"/>
          <w:iCs/>
        </w:rPr>
        <w:t>zvyšování teplot,</w:t>
      </w:r>
    </w:p>
    <w:p w14:paraId="54654472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11"/>
        </w:numPr>
        <w:suppressAutoHyphens w:val="0"/>
        <w:autoSpaceDE w:val="0"/>
        <w:spacing w:after="0" w:line="240" w:lineRule="auto"/>
        <w:jc w:val="both"/>
        <w:textAlignment w:val="auto"/>
        <w:rPr>
          <w:rFonts w:ascii="Arial" w:hAnsi="Arial" w:cs="Arial"/>
          <w:iCs/>
        </w:rPr>
      </w:pPr>
      <w:r w:rsidRPr="002D2EC3">
        <w:rPr>
          <w:rFonts w:ascii="Arial" w:hAnsi="Arial" w:cs="Arial"/>
          <w:iCs/>
        </w:rPr>
        <w:t>extrémně vysoké teploty,</w:t>
      </w:r>
    </w:p>
    <w:p w14:paraId="4BFFB443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11"/>
        </w:numPr>
        <w:suppressAutoHyphens w:val="0"/>
        <w:autoSpaceDE w:val="0"/>
        <w:spacing w:after="0" w:line="240" w:lineRule="auto"/>
        <w:jc w:val="both"/>
        <w:textAlignment w:val="auto"/>
        <w:rPr>
          <w:rFonts w:ascii="Arial" w:hAnsi="Arial" w:cs="Arial"/>
          <w:iCs/>
        </w:rPr>
      </w:pPr>
      <w:r w:rsidRPr="002D2EC3">
        <w:rPr>
          <w:rFonts w:ascii="Arial" w:hAnsi="Arial" w:cs="Arial"/>
          <w:iCs/>
        </w:rPr>
        <w:t>extrémní vítr,</w:t>
      </w:r>
    </w:p>
    <w:p w14:paraId="2BB348EE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11"/>
        </w:numPr>
        <w:suppressAutoHyphens w:val="0"/>
        <w:autoSpaceDE w:val="0"/>
        <w:spacing w:after="0" w:line="240" w:lineRule="auto"/>
        <w:jc w:val="both"/>
        <w:textAlignment w:val="auto"/>
        <w:rPr>
          <w:rFonts w:ascii="Arial" w:hAnsi="Arial" w:cs="Arial"/>
          <w:iCs/>
        </w:rPr>
      </w:pPr>
      <w:r w:rsidRPr="002D2EC3">
        <w:rPr>
          <w:rFonts w:ascii="Arial" w:hAnsi="Arial" w:cs="Arial"/>
          <w:iCs/>
        </w:rPr>
        <w:t>požáry vegetace.</w:t>
      </w:r>
    </w:p>
    <w:p w14:paraId="18019D18" w14:textId="77777777" w:rsidR="00C94608" w:rsidRDefault="00C94608" w:rsidP="00C94608">
      <w:pPr>
        <w:rPr>
          <w:iCs/>
        </w:rPr>
      </w:pPr>
    </w:p>
    <w:p w14:paraId="10F451E7" w14:textId="77777777" w:rsidR="00C94608" w:rsidRPr="002D2EC3" w:rsidRDefault="00C94608" w:rsidP="00C94608">
      <w:pPr>
        <w:rPr>
          <w:rFonts w:cs="Arial"/>
          <w:iCs/>
        </w:rPr>
      </w:pPr>
      <w:r>
        <w:rPr>
          <w:iCs/>
        </w:rPr>
        <w:t xml:space="preserve">Výše </w:t>
      </w:r>
      <w:r w:rsidRPr="002D2EC3">
        <w:rPr>
          <w:rFonts w:cs="Arial"/>
          <w:iCs/>
        </w:rPr>
        <w:t>uvedené dopady změn klimatu byly následně analyzovány v těchto oblastech:</w:t>
      </w:r>
    </w:p>
    <w:p w14:paraId="07F6B688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12"/>
        </w:numPr>
        <w:suppressAutoHyphens w:val="0"/>
        <w:autoSpaceDE w:val="0"/>
        <w:spacing w:after="0" w:line="240" w:lineRule="auto"/>
        <w:jc w:val="both"/>
        <w:textAlignment w:val="auto"/>
        <w:rPr>
          <w:rFonts w:ascii="Arial" w:hAnsi="Arial" w:cs="Arial"/>
          <w:iCs/>
        </w:rPr>
      </w:pPr>
      <w:r w:rsidRPr="002D2EC3">
        <w:rPr>
          <w:rFonts w:ascii="Arial" w:hAnsi="Arial" w:cs="Arial"/>
          <w:iCs/>
        </w:rPr>
        <w:t xml:space="preserve">lesní hospodářství, </w:t>
      </w:r>
    </w:p>
    <w:p w14:paraId="1EC527F2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12"/>
        </w:numPr>
        <w:suppressAutoHyphens w:val="0"/>
        <w:autoSpaceDE w:val="0"/>
        <w:spacing w:after="0" w:line="240" w:lineRule="auto"/>
        <w:jc w:val="both"/>
        <w:textAlignment w:val="auto"/>
        <w:rPr>
          <w:rFonts w:ascii="Arial" w:hAnsi="Arial" w:cs="Arial"/>
          <w:iCs/>
        </w:rPr>
      </w:pPr>
      <w:r w:rsidRPr="002D2EC3">
        <w:rPr>
          <w:rFonts w:ascii="Arial" w:hAnsi="Arial" w:cs="Arial"/>
          <w:iCs/>
        </w:rPr>
        <w:t>zemědělství,</w:t>
      </w:r>
    </w:p>
    <w:p w14:paraId="0C9A2CA9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12"/>
        </w:numPr>
        <w:suppressAutoHyphens w:val="0"/>
        <w:autoSpaceDE w:val="0"/>
        <w:spacing w:after="0" w:line="240" w:lineRule="auto"/>
        <w:jc w:val="both"/>
        <w:textAlignment w:val="auto"/>
        <w:rPr>
          <w:rFonts w:ascii="Arial" w:hAnsi="Arial" w:cs="Arial"/>
          <w:iCs/>
        </w:rPr>
      </w:pPr>
      <w:r w:rsidRPr="002D2EC3">
        <w:rPr>
          <w:rFonts w:ascii="Arial" w:hAnsi="Arial" w:cs="Arial"/>
          <w:iCs/>
        </w:rPr>
        <w:t>vodní režim v krajině a vodní hospodářství,</w:t>
      </w:r>
    </w:p>
    <w:p w14:paraId="11AFF649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12"/>
        </w:numPr>
        <w:suppressAutoHyphens w:val="0"/>
        <w:autoSpaceDE w:val="0"/>
        <w:spacing w:after="0" w:line="240" w:lineRule="auto"/>
        <w:jc w:val="both"/>
        <w:textAlignment w:val="auto"/>
        <w:rPr>
          <w:rFonts w:ascii="Arial" w:hAnsi="Arial" w:cs="Arial"/>
          <w:iCs/>
        </w:rPr>
      </w:pPr>
      <w:r w:rsidRPr="002D2EC3">
        <w:rPr>
          <w:rFonts w:ascii="Arial" w:hAnsi="Arial" w:cs="Arial"/>
          <w:iCs/>
        </w:rPr>
        <w:t>biodiverzita a ekosystémové služby,</w:t>
      </w:r>
    </w:p>
    <w:p w14:paraId="26880C6A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12"/>
        </w:numPr>
        <w:suppressAutoHyphens w:val="0"/>
        <w:autoSpaceDE w:val="0"/>
        <w:spacing w:after="0" w:line="240" w:lineRule="auto"/>
        <w:jc w:val="both"/>
        <w:textAlignment w:val="auto"/>
        <w:rPr>
          <w:rFonts w:ascii="Arial" w:hAnsi="Arial" w:cs="Arial"/>
          <w:iCs/>
        </w:rPr>
      </w:pPr>
      <w:r w:rsidRPr="002D2EC3">
        <w:rPr>
          <w:rFonts w:ascii="Arial" w:hAnsi="Arial" w:cs="Arial"/>
          <w:iCs/>
        </w:rPr>
        <w:t>zdraví a hygiena,</w:t>
      </w:r>
    </w:p>
    <w:p w14:paraId="4C50F355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12"/>
        </w:numPr>
        <w:suppressAutoHyphens w:val="0"/>
        <w:autoSpaceDE w:val="0"/>
        <w:spacing w:after="0" w:line="240" w:lineRule="auto"/>
        <w:jc w:val="both"/>
        <w:textAlignment w:val="auto"/>
        <w:rPr>
          <w:rFonts w:ascii="Arial" w:hAnsi="Arial" w:cs="Arial"/>
          <w:iCs/>
        </w:rPr>
      </w:pPr>
      <w:r w:rsidRPr="002D2EC3">
        <w:rPr>
          <w:rFonts w:ascii="Arial" w:hAnsi="Arial" w:cs="Arial"/>
          <w:iCs/>
        </w:rPr>
        <w:t>urbanizovaná krajina,</w:t>
      </w:r>
    </w:p>
    <w:p w14:paraId="5893DFE4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12"/>
        </w:numPr>
        <w:suppressAutoHyphens w:val="0"/>
        <w:autoSpaceDE w:val="0"/>
        <w:spacing w:after="0" w:line="240" w:lineRule="auto"/>
        <w:jc w:val="both"/>
        <w:textAlignment w:val="auto"/>
        <w:rPr>
          <w:rFonts w:ascii="Arial" w:hAnsi="Arial" w:cs="Arial"/>
          <w:iCs/>
        </w:rPr>
      </w:pPr>
      <w:r w:rsidRPr="002D2EC3">
        <w:rPr>
          <w:rFonts w:ascii="Arial" w:hAnsi="Arial" w:cs="Arial"/>
          <w:iCs/>
        </w:rPr>
        <w:t>cestovní ruch,</w:t>
      </w:r>
    </w:p>
    <w:p w14:paraId="3C0109C4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12"/>
        </w:numPr>
        <w:suppressAutoHyphens w:val="0"/>
        <w:autoSpaceDE w:val="0"/>
        <w:spacing w:after="0" w:line="240" w:lineRule="auto"/>
        <w:jc w:val="both"/>
        <w:textAlignment w:val="auto"/>
        <w:rPr>
          <w:rFonts w:ascii="Arial" w:hAnsi="Arial" w:cs="Arial"/>
          <w:iCs/>
        </w:rPr>
      </w:pPr>
      <w:r w:rsidRPr="002D2EC3">
        <w:rPr>
          <w:rFonts w:ascii="Arial" w:hAnsi="Arial" w:cs="Arial"/>
          <w:iCs/>
        </w:rPr>
        <w:t>průmysl a energetika,</w:t>
      </w:r>
    </w:p>
    <w:p w14:paraId="0EE0792D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12"/>
        </w:numPr>
        <w:suppressAutoHyphens w:val="0"/>
        <w:autoSpaceDE w:val="0"/>
        <w:spacing w:after="0" w:line="240" w:lineRule="auto"/>
        <w:jc w:val="both"/>
        <w:textAlignment w:val="auto"/>
        <w:rPr>
          <w:rFonts w:ascii="Arial" w:hAnsi="Arial" w:cs="Arial"/>
          <w:iCs/>
        </w:rPr>
      </w:pPr>
      <w:r w:rsidRPr="002D2EC3">
        <w:rPr>
          <w:rFonts w:ascii="Arial" w:hAnsi="Arial" w:cs="Arial"/>
          <w:iCs/>
        </w:rPr>
        <w:t>doprava,</w:t>
      </w:r>
    </w:p>
    <w:p w14:paraId="54956613" w14:textId="77777777" w:rsidR="00C94608" w:rsidRPr="002D2EC3" w:rsidRDefault="00C94608" w:rsidP="00C94608">
      <w:pPr>
        <w:pStyle w:val="Odstavecseseznamem"/>
        <w:keepNext/>
        <w:keepLines/>
        <w:widowControl w:val="0"/>
        <w:numPr>
          <w:ilvl w:val="0"/>
          <w:numId w:val="12"/>
        </w:numPr>
        <w:suppressAutoHyphens w:val="0"/>
        <w:autoSpaceDE w:val="0"/>
        <w:spacing w:after="0" w:line="240" w:lineRule="auto"/>
        <w:ind w:left="714" w:hanging="357"/>
        <w:jc w:val="both"/>
        <w:textAlignment w:val="auto"/>
        <w:rPr>
          <w:rFonts w:ascii="Arial" w:hAnsi="Arial" w:cs="Arial"/>
          <w:iCs/>
        </w:rPr>
      </w:pPr>
      <w:r w:rsidRPr="002D2EC3">
        <w:rPr>
          <w:rFonts w:ascii="Arial" w:hAnsi="Arial" w:cs="Arial"/>
          <w:iCs/>
        </w:rPr>
        <w:t>kulturní dědictví,</w:t>
      </w:r>
    </w:p>
    <w:p w14:paraId="0279BF9F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12"/>
        </w:numPr>
        <w:suppressAutoHyphens w:val="0"/>
        <w:autoSpaceDE w:val="0"/>
        <w:spacing w:after="0" w:line="240" w:lineRule="auto"/>
        <w:jc w:val="both"/>
        <w:textAlignment w:val="auto"/>
        <w:rPr>
          <w:rFonts w:ascii="Arial" w:hAnsi="Arial" w:cs="Arial"/>
          <w:iCs/>
        </w:rPr>
      </w:pPr>
      <w:r w:rsidRPr="002D2EC3">
        <w:rPr>
          <w:rFonts w:ascii="Arial" w:hAnsi="Arial" w:cs="Arial"/>
          <w:iCs/>
        </w:rPr>
        <w:t>bezpečné prostředí.</w:t>
      </w:r>
    </w:p>
    <w:p w14:paraId="385AF3B2" w14:textId="77777777" w:rsidR="00C94608" w:rsidRDefault="00C94608" w:rsidP="00C94608">
      <w:pPr>
        <w:rPr>
          <w:b/>
          <w:bCs/>
          <w:iCs/>
        </w:rPr>
      </w:pPr>
      <w:r>
        <w:rPr>
          <w:b/>
          <w:bCs/>
          <w:iCs/>
        </w:rPr>
        <w:lastRenderedPageBreak/>
        <w:t>Aktivity vedoucí k adaptaci</w:t>
      </w:r>
    </w:p>
    <w:p w14:paraId="1443D347" w14:textId="77777777" w:rsidR="00C94608" w:rsidRDefault="00C94608" w:rsidP="00C94608">
      <w:pPr>
        <w:rPr>
          <w:iCs/>
        </w:rPr>
      </w:pPr>
      <w:r>
        <w:rPr>
          <w:iCs/>
        </w:rPr>
        <w:t>Žadatel má povinnost vybrat taková opatření, aby minimalizoval všechny hlavní dopady a další místně specifické dopady, které stanoví. Je nutné vybrat minimálně 1 opatření a jeho výběr odůvodnit s ohledem na očekávané dopady změny klimatu v dané lokalitě.</w:t>
      </w:r>
    </w:p>
    <w:p w14:paraId="090CF595" w14:textId="77777777" w:rsidR="00C94608" w:rsidRDefault="00C94608" w:rsidP="00C94608">
      <w:pPr>
        <w:rPr>
          <w:iCs/>
        </w:rPr>
      </w:pPr>
      <w:r>
        <w:rPr>
          <w:iCs/>
        </w:rPr>
        <w:t>Mezi tyto aktivity patří například:</w:t>
      </w:r>
    </w:p>
    <w:p w14:paraId="5135FDBD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8"/>
        </w:numPr>
        <w:suppressAutoHyphens w:val="0"/>
        <w:autoSpaceDE w:val="0"/>
        <w:spacing w:after="0" w:line="276" w:lineRule="auto"/>
        <w:jc w:val="both"/>
        <w:textAlignment w:val="auto"/>
        <w:rPr>
          <w:rFonts w:ascii="Arial" w:hAnsi="Arial" w:cs="Arial"/>
          <w:iCs/>
        </w:rPr>
      </w:pPr>
      <w:r w:rsidRPr="002D2EC3">
        <w:rPr>
          <w:rFonts w:ascii="Arial" w:hAnsi="Arial" w:cs="Arial"/>
          <w:iCs/>
        </w:rPr>
        <w:t>zajištění tepelného komfortu v budově,</w:t>
      </w:r>
    </w:p>
    <w:p w14:paraId="1F5426BC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8"/>
        </w:numPr>
        <w:suppressAutoHyphens w:val="0"/>
        <w:autoSpaceDE w:val="0"/>
        <w:spacing w:after="0" w:line="276" w:lineRule="auto"/>
        <w:jc w:val="both"/>
        <w:textAlignment w:val="auto"/>
        <w:rPr>
          <w:rFonts w:ascii="Arial" w:hAnsi="Arial" w:cs="Arial"/>
          <w:iCs/>
        </w:rPr>
      </w:pPr>
      <w:r w:rsidRPr="002D2EC3">
        <w:rPr>
          <w:rFonts w:ascii="Arial" w:hAnsi="Arial" w:cs="Arial"/>
          <w:iCs/>
        </w:rPr>
        <w:t>realizace vnějších stínících prvků snižující teplenou zátěž budovy,</w:t>
      </w:r>
    </w:p>
    <w:p w14:paraId="7A5EC36C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8"/>
        </w:numPr>
        <w:suppressAutoHyphens w:val="0"/>
        <w:autoSpaceDE w:val="0"/>
        <w:spacing w:after="0" w:line="276" w:lineRule="auto"/>
        <w:jc w:val="both"/>
        <w:textAlignment w:val="auto"/>
        <w:rPr>
          <w:rFonts w:ascii="Arial" w:hAnsi="Arial" w:cs="Arial"/>
          <w:iCs/>
        </w:rPr>
      </w:pPr>
      <w:r w:rsidRPr="002D2EC3">
        <w:rPr>
          <w:rFonts w:ascii="Arial" w:hAnsi="Arial" w:cs="Arial"/>
          <w:iCs/>
        </w:rPr>
        <w:t>systémy využívající odpadní teplo,</w:t>
      </w:r>
    </w:p>
    <w:p w14:paraId="207C113B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8"/>
        </w:numPr>
        <w:suppressAutoHyphens w:val="0"/>
        <w:autoSpaceDE w:val="0"/>
        <w:spacing w:after="0" w:line="276" w:lineRule="auto"/>
        <w:jc w:val="both"/>
        <w:textAlignment w:val="auto"/>
        <w:rPr>
          <w:rFonts w:ascii="Arial" w:hAnsi="Arial" w:cs="Arial"/>
          <w:iCs/>
        </w:rPr>
      </w:pPr>
      <w:r w:rsidRPr="002D2EC3">
        <w:rPr>
          <w:rFonts w:ascii="Arial" w:hAnsi="Arial" w:cs="Arial"/>
          <w:iCs/>
        </w:rPr>
        <w:t>komplexní pozemkové úpravy řešené se zřetelem na problematiku povodní, sucha a protierozní ochrany,</w:t>
      </w:r>
    </w:p>
    <w:p w14:paraId="52ADB5CF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8"/>
        </w:numPr>
        <w:suppressAutoHyphens w:val="0"/>
        <w:autoSpaceDE w:val="0"/>
        <w:spacing w:after="0" w:line="276" w:lineRule="auto"/>
        <w:jc w:val="both"/>
        <w:textAlignment w:val="auto"/>
        <w:rPr>
          <w:rFonts w:ascii="Arial" w:hAnsi="Arial" w:cs="Arial"/>
          <w:iCs/>
        </w:rPr>
      </w:pPr>
      <w:r w:rsidRPr="002D2EC3">
        <w:rPr>
          <w:rFonts w:ascii="Arial" w:hAnsi="Arial" w:cs="Arial"/>
          <w:iCs/>
        </w:rPr>
        <w:t>zbudování vegetační konstrukce (zelené střechy),</w:t>
      </w:r>
    </w:p>
    <w:p w14:paraId="6D24BAEF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8"/>
        </w:numPr>
        <w:suppressAutoHyphens w:val="0"/>
        <w:autoSpaceDE w:val="0"/>
        <w:spacing w:after="0" w:line="276" w:lineRule="auto"/>
        <w:jc w:val="both"/>
        <w:textAlignment w:val="auto"/>
        <w:rPr>
          <w:rFonts w:ascii="Arial" w:hAnsi="Arial" w:cs="Arial"/>
          <w:iCs/>
        </w:rPr>
      </w:pPr>
      <w:r w:rsidRPr="002D2EC3">
        <w:rPr>
          <w:rFonts w:ascii="Arial" w:hAnsi="Arial" w:cs="Arial"/>
          <w:iCs/>
        </w:rPr>
        <w:t>technologie pro akumulaci, úpravu a rozvod šedých a srážkových vod v budovách za účelem splachování, praní a dalších relevantních užití s výjimkou úpravy na vodu pitnou,</w:t>
      </w:r>
    </w:p>
    <w:p w14:paraId="352462E1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8"/>
        </w:numPr>
        <w:suppressAutoHyphens w:val="0"/>
        <w:autoSpaceDE w:val="0"/>
        <w:spacing w:after="0" w:line="276" w:lineRule="auto"/>
        <w:jc w:val="both"/>
        <w:textAlignment w:val="auto"/>
        <w:rPr>
          <w:rFonts w:ascii="Arial" w:hAnsi="Arial" w:cs="Arial"/>
          <w:iCs/>
        </w:rPr>
      </w:pPr>
      <w:r w:rsidRPr="002D2EC3">
        <w:rPr>
          <w:rFonts w:ascii="Arial" w:hAnsi="Arial" w:cs="Arial"/>
          <w:iCs/>
        </w:rPr>
        <w:t>opatření pro řízenou dotaci podzemních vod,</w:t>
      </w:r>
    </w:p>
    <w:p w14:paraId="4FF2158C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8"/>
        </w:numPr>
        <w:suppressAutoHyphens w:val="0"/>
        <w:autoSpaceDE w:val="0"/>
        <w:spacing w:after="0" w:line="276" w:lineRule="auto"/>
        <w:jc w:val="both"/>
        <w:textAlignment w:val="auto"/>
        <w:rPr>
          <w:rFonts w:ascii="Arial" w:hAnsi="Arial" w:cs="Arial"/>
          <w:iCs/>
        </w:rPr>
      </w:pPr>
      <w:r w:rsidRPr="002D2EC3">
        <w:rPr>
          <w:rFonts w:ascii="Arial" w:hAnsi="Arial" w:cs="Arial"/>
          <w:iCs/>
        </w:rPr>
        <w:t>výstavba a modernizace vodovodních přivaděčů a vodovodních řadů,</w:t>
      </w:r>
    </w:p>
    <w:p w14:paraId="15318476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8"/>
        </w:numPr>
        <w:suppressAutoHyphens w:val="0"/>
        <w:autoSpaceDE w:val="0"/>
        <w:spacing w:after="0" w:line="276" w:lineRule="auto"/>
        <w:jc w:val="both"/>
        <w:textAlignment w:val="auto"/>
        <w:rPr>
          <w:rFonts w:ascii="Arial" w:hAnsi="Arial" w:cs="Arial"/>
          <w:iCs/>
        </w:rPr>
      </w:pPr>
      <w:r w:rsidRPr="002D2EC3">
        <w:rPr>
          <w:rFonts w:ascii="Arial" w:hAnsi="Arial" w:cs="Arial"/>
          <w:iCs/>
        </w:rPr>
        <w:t>budování a modernizace kanalizace,</w:t>
      </w:r>
    </w:p>
    <w:p w14:paraId="27B36C39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8"/>
        </w:numPr>
        <w:suppressAutoHyphens w:val="0"/>
        <w:autoSpaceDE w:val="0"/>
        <w:spacing w:after="0" w:line="276" w:lineRule="auto"/>
        <w:jc w:val="both"/>
        <w:textAlignment w:val="auto"/>
        <w:rPr>
          <w:rFonts w:ascii="Arial" w:hAnsi="Arial" w:cs="Arial"/>
          <w:iCs/>
        </w:rPr>
      </w:pPr>
      <w:r w:rsidRPr="002D2EC3">
        <w:rPr>
          <w:rFonts w:ascii="Arial" w:hAnsi="Arial" w:cs="Arial"/>
          <w:iCs/>
        </w:rPr>
        <w:t>doplnění technologií pro odstranění specifických polutantů,</w:t>
      </w:r>
    </w:p>
    <w:p w14:paraId="294B99E1" w14:textId="77777777" w:rsidR="00C94608" w:rsidRPr="002D2EC3" w:rsidRDefault="00C94608" w:rsidP="00C94608">
      <w:pPr>
        <w:pStyle w:val="Odstavecseseznamem"/>
        <w:widowControl w:val="0"/>
        <w:numPr>
          <w:ilvl w:val="0"/>
          <w:numId w:val="8"/>
        </w:numPr>
        <w:suppressAutoHyphens w:val="0"/>
        <w:autoSpaceDE w:val="0"/>
        <w:spacing w:after="0" w:line="276" w:lineRule="auto"/>
        <w:jc w:val="both"/>
        <w:textAlignment w:val="auto"/>
        <w:rPr>
          <w:rFonts w:ascii="Arial" w:hAnsi="Arial" w:cs="Arial"/>
          <w:iCs/>
        </w:rPr>
      </w:pPr>
      <w:r w:rsidRPr="002D2EC3">
        <w:rPr>
          <w:rFonts w:ascii="Arial" w:hAnsi="Arial" w:cs="Arial"/>
          <w:iCs/>
        </w:rPr>
        <w:t>opatření přispívající k minimalizaci tepelných ostrovů,</w:t>
      </w:r>
    </w:p>
    <w:p w14:paraId="545B180A" w14:textId="77777777" w:rsidR="00C94608" w:rsidRDefault="00C94608" w:rsidP="00C94608">
      <w:pPr>
        <w:pStyle w:val="Odstavecseseznamem"/>
        <w:widowControl w:val="0"/>
        <w:numPr>
          <w:ilvl w:val="0"/>
          <w:numId w:val="8"/>
        </w:numPr>
        <w:suppressAutoHyphens w:val="0"/>
        <w:autoSpaceDE w:val="0"/>
        <w:spacing w:after="0" w:line="276" w:lineRule="auto"/>
        <w:jc w:val="both"/>
        <w:textAlignment w:val="auto"/>
        <w:rPr>
          <w:rFonts w:ascii="Arial" w:hAnsi="Arial" w:cs="Arial"/>
          <w:iCs/>
        </w:rPr>
      </w:pPr>
      <w:r w:rsidRPr="002D2EC3">
        <w:rPr>
          <w:rFonts w:ascii="Arial" w:hAnsi="Arial" w:cs="Arial"/>
          <w:iCs/>
        </w:rPr>
        <w:t>realizace povrchu snižující akumulaci tepla.</w:t>
      </w:r>
    </w:p>
    <w:p w14:paraId="45B62687" w14:textId="77777777" w:rsidR="00C94608" w:rsidRDefault="00C94608" w:rsidP="00C94608">
      <w:pPr>
        <w:widowControl w:val="0"/>
        <w:autoSpaceDE w:val="0"/>
        <w:spacing w:after="0"/>
        <w:rPr>
          <w:rFonts w:cs="Arial"/>
          <w:iCs/>
        </w:rPr>
      </w:pPr>
    </w:p>
    <w:p w14:paraId="77F0DC49" w14:textId="77777777" w:rsidR="00C94608" w:rsidRDefault="00C94608" w:rsidP="00C94608">
      <w:pPr>
        <w:rPr>
          <w:iCs/>
        </w:rPr>
      </w:pPr>
      <w:r>
        <w:t>Dopady změny klimatu se mohou u jednotlivých projektů</w:t>
      </w:r>
      <w:r>
        <w:rPr>
          <w:spacing w:val="1"/>
        </w:rPr>
        <w:t xml:space="preserve"> </w:t>
      </w:r>
      <w:r>
        <w:t>lišit v závislosti na regionu a je nutné dodat místně specifická rizika. Řada regionů a měst má</w:t>
      </w:r>
      <w:r>
        <w:rPr>
          <w:spacing w:val="1"/>
        </w:rPr>
        <w:t xml:space="preserve"> </w:t>
      </w:r>
      <w:r>
        <w:t>navíc zpracovány vlastní adaptační strategie nebo obdobné dokumenty, které by měly blíže</w:t>
      </w:r>
      <w:r>
        <w:rPr>
          <w:spacing w:val="1"/>
        </w:rPr>
        <w:t xml:space="preserve"> </w:t>
      </w:r>
      <w:r>
        <w:t>reagovat</w:t>
      </w:r>
      <w:r>
        <w:rPr>
          <w:spacing w:val="-11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rizika</w:t>
      </w:r>
      <w:r>
        <w:rPr>
          <w:spacing w:val="-10"/>
        </w:rPr>
        <w:t xml:space="preserve"> </w:t>
      </w:r>
      <w:r>
        <w:t>specifická</w:t>
      </w:r>
      <w:r>
        <w:rPr>
          <w:spacing w:val="-11"/>
        </w:rPr>
        <w:t xml:space="preserve"> </w:t>
      </w:r>
      <w:r>
        <w:t>pro</w:t>
      </w:r>
      <w:r>
        <w:rPr>
          <w:spacing w:val="-12"/>
        </w:rPr>
        <w:t xml:space="preserve"> </w:t>
      </w:r>
      <w:r>
        <w:t>daný</w:t>
      </w:r>
      <w:r>
        <w:rPr>
          <w:spacing w:val="-10"/>
        </w:rPr>
        <w:t xml:space="preserve"> </w:t>
      </w:r>
      <w:r>
        <w:t>region.</w:t>
      </w:r>
      <w:r>
        <w:rPr>
          <w:spacing w:val="-11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takovém</w:t>
      </w:r>
      <w:r>
        <w:rPr>
          <w:spacing w:val="-12"/>
        </w:rPr>
        <w:t xml:space="preserve"> </w:t>
      </w:r>
      <w:r>
        <w:t>případě</w:t>
      </w:r>
      <w:r>
        <w:rPr>
          <w:spacing w:val="-10"/>
        </w:rPr>
        <w:t xml:space="preserve"> </w:t>
      </w:r>
      <w:r>
        <w:t>je</w:t>
      </w:r>
      <w:r>
        <w:rPr>
          <w:spacing w:val="-10"/>
        </w:rPr>
        <w:t xml:space="preserve"> </w:t>
      </w:r>
      <w:r>
        <w:t>vhodné</w:t>
      </w:r>
      <w:r>
        <w:rPr>
          <w:spacing w:val="-10"/>
        </w:rPr>
        <w:t xml:space="preserve"> </w:t>
      </w:r>
      <w:r>
        <w:t>reagovat</w:t>
      </w:r>
      <w:r>
        <w:rPr>
          <w:spacing w:val="-10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místní podmínky a místně vnímaná rizika (např.</w:t>
      </w:r>
      <w:r>
        <w:rPr>
          <w:spacing w:val="-1"/>
        </w:rPr>
        <w:t xml:space="preserve"> </w:t>
      </w:r>
      <w:r>
        <w:t>povodně,</w:t>
      </w:r>
      <w:r>
        <w:rPr>
          <w:spacing w:val="1"/>
        </w:rPr>
        <w:t xml:space="preserve"> </w:t>
      </w:r>
      <w:r>
        <w:t>sesuvy půdy).</w:t>
      </w:r>
    </w:p>
    <w:p w14:paraId="6E3FD527" w14:textId="77777777" w:rsidR="00C94608" w:rsidRDefault="00C94608" w:rsidP="00C94608">
      <w:r>
        <w:t>Zavedená adaptační řešení nebudou mít nepříznivý vliv na adaptační úsilí ani míru odolnosti</w:t>
      </w:r>
      <w:r>
        <w:rPr>
          <w:spacing w:val="1"/>
        </w:rPr>
        <w:t xml:space="preserve"> </w:t>
      </w:r>
      <w:r>
        <w:t>jiných osob, přírody, kulturního dědictví, aktiv a jiných hospodářských činností vůči fyzickým</w:t>
      </w:r>
      <w:r>
        <w:rPr>
          <w:spacing w:val="1"/>
        </w:rPr>
        <w:t xml:space="preserve"> </w:t>
      </w:r>
      <w:r>
        <w:t>rizikům</w:t>
      </w:r>
      <w:r>
        <w:rPr>
          <w:spacing w:val="-9"/>
        </w:rPr>
        <w:t xml:space="preserve"> </w:t>
      </w:r>
      <w:r>
        <w:t>souvisejícím</w:t>
      </w:r>
      <w:r>
        <w:rPr>
          <w:spacing w:val="-9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t>změnou</w:t>
      </w:r>
      <w:r>
        <w:rPr>
          <w:spacing w:val="-8"/>
        </w:rPr>
        <w:t xml:space="preserve"> </w:t>
      </w:r>
      <w:r>
        <w:t>klimatu;</w:t>
      </w:r>
      <w:r>
        <w:rPr>
          <w:spacing w:val="-6"/>
        </w:rPr>
        <w:t xml:space="preserve"> </w:t>
      </w:r>
      <w:r>
        <w:t>jsou</w:t>
      </w:r>
      <w:r>
        <w:rPr>
          <w:spacing w:val="-8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souladu</w:t>
      </w:r>
      <w:r>
        <w:rPr>
          <w:spacing w:val="-8"/>
        </w:rPr>
        <w:t xml:space="preserve"> </w:t>
      </w:r>
      <w:r>
        <w:t>s</w:t>
      </w:r>
      <w:r>
        <w:rPr>
          <w:spacing w:val="-6"/>
        </w:rPr>
        <w:t xml:space="preserve"> </w:t>
      </w:r>
      <w:r>
        <w:t>místními,</w:t>
      </w:r>
      <w:r>
        <w:rPr>
          <w:spacing w:val="-7"/>
        </w:rPr>
        <w:t xml:space="preserve"> </w:t>
      </w:r>
      <w:r>
        <w:t>odvětvovými,</w:t>
      </w:r>
      <w:r>
        <w:rPr>
          <w:spacing w:val="-7"/>
        </w:rPr>
        <w:t xml:space="preserve"> </w:t>
      </w:r>
      <w:r>
        <w:t>regionálními</w:t>
      </w:r>
      <w:r>
        <w:rPr>
          <w:spacing w:val="-52"/>
        </w:rPr>
        <w:t xml:space="preserve"> </w:t>
      </w:r>
      <w:r>
        <w:t>nebo vnitrostátními strategiemi a plány přizpůsobení se změně klimatu; a co nejvíce zvažují</w:t>
      </w:r>
      <w:r>
        <w:rPr>
          <w:spacing w:val="1"/>
        </w:rPr>
        <w:t xml:space="preserve"> </w:t>
      </w:r>
      <w:r>
        <w:t>využití</w:t>
      </w:r>
      <w:r>
        <w:rPr>
          <w:spacing w:val="-2"/>
        </w:rPr>
        <w:t xml:space="preserve"> </w:t>
      </w:r>
      <w:r>
        <w:t>přírodě blízkých</w:t>
      </w:r>
      <w:r>
        <w:rPr>
          <w:spacing w:val="-2"/>
        </w:rPr>
        <w:t xml:space="preserve"> </w:t>
      </w:r>
      <w:r>
        <w:t>řešení</w:t>
      </w:r>
      <w:r>
        <w:rPr>
          <w:spacing w:val="-1"/>
        </w:rPr>
        <w:t xml:space="preserve"> </w:t>
      </w:r>
      <w:r>
        <w:t>nebo</w:t>
      </w:r>
      <w:r>
        <w:rPr>
          <w:spacing w:val="-3"/>
        </w:rPr>
        <w:t xml:space="preserve"> </w:t>
      </w:r>
      <w:r>
        <w:t>se opírají o</w:t>
      </w:r>
      <w:r>
        <w:rPr>
          <w:spacing w:val="-2"/>
        </w:rPr>
        <w:t xml:space="preserve"> </w:t>
      </w:r>
      <w:r>
        <w:t>modrou</w:t>
      </w:r>
      <w:r>
        <w:rPr>
          <w:spacing w:val="-2"/>
        </w:rPr>
        <w:t xml:space="preserve"> </w:t>
      </w:r>
      <w:r>
        <w:t>nebo</w:t>
      </w:r>
      <w:r>
        <w:rPr>
          <w:spacing w:val="-3"/>
        </w:rPr>
        <w:t xml:space="preserve"> </w:t>
      </w:r>
      <w:r>
        <w:t>zelenou</w:t>
      </w:r>
      <w:r>
        <w:rPr>
          <w:spacing w:val="-1"/>
        </w:rPr>
        <w:t xml:space="preserve"> </w:t>
      </w:r>
      <w:r>
        <w:t>infrastrukturu.</w:t>
      </w:r>
    </w:p>
    <w:p w14:paraId="21E12418" w14:textId="77777777" w:rsidR="00C94608" w:rsidRDefault="00C94608" w:rsidP="00C94608">
      <w:pPr>
        <w:pStyle w:val="Odstavecseseznamem"/>
        <w:widowControl w:val="0"/>
        <w:numPr>
          <w:ilvl w:val="0"/>
          <w:numId w:val="6"/>
        </w:numPr>
        <w:suppressAutoHyphens w:val="0"/>
        <w:autoSpaceDE w:val="0"/>
        <w:spacing w:after="0" w:line="240" w:lineRule="auto"/>
        <w:jc w:val="both"/>
        <w:textAlignment w:val="auto"/>
        <w:rPr>
          <w:rFonts w:ascii="Arial" w:hAnsi="Arial" w:cs="Arial"/>
          <w:b/>
          <w:bCs/>
          <w:szCs w:val="20"/>
        </w:rPr>
      </w:pPr>
      <w:r w:rsidRPr="002D2EC3">
        <w:rPr>
          <w:rFonts w:ascii="Arial" w:hAnsi="Arial" w:cs="Arial"/>
          <w:b/>
          <w:bCs/>
          <w:szCs w:val="20"/>
        </w:rPr>
        <w:t>Cíl udržitelnosti využívání a ochrana vodních a mořských zdrojů</w:t>
      </w:r>
    </w:p>
    <w:p w14:paraId="553267FC" w14:textId="77777777" w:rsidR="00C94608" w:rsidRDefault="00C94608" w:rsidP="00C94608">
      <w:pPr>
        <w:widowControl w:val="0"/>
        <w:autoSpaceDE w:val="0"/>
        <w:spacing w:after="0" w:line="240" w:lineRule="auto"/>
        <w:rPr>
          <w:rFonts w:cs="Arial"/>
          <w:b/>
          <w:bCs/>
          <w:szCs w:val="20"/>
        </w:rPr>
      </w:pPr>
    </w:p>
    <w:p w14:paraId="09CC2264" w14:textId="77777777" w:rsidR="00C94608" w:rsidRDefault="00C94608" w:rsidP="00C94608">
      <w:pPr>
        <w:rPr>
          <w:iCs/>
        </w:rPr>
      </w:pPr>
      <w:r>
        <w:rPr>
          <w:iCs/>
        </w:rPr>
        <w:t>U tohoto cíle se identifikují rizika zhoršování stavu životního prostředí související se zachováním jakosti vody a předcházení nedostatku vody. Činnost nesmí významně poškozovat udržitelné využívání a ochranu vodních a mořských zdrojů, poškozovat dobrý stav nebo ekologický potenciál vodních útvarů, včetně podzemních vod.</w:t>
      </w:r>
    </w:p>
    <w:p w14:paraId="775002C2" w14:textId="77777777" w:rsidR="00C94608" w:rsidRDefault="00C94608" w:rsidP="00C94608">
      <w:pPr>
        <w:rPr>
          <w:iCs/>
        </w:rPr>
      </w:pPr>
      <w:r>
        <w:rPr>
          <w:iCs/>
        </w:rPr>
        <w:t>Toto opatření se hodnotí dle zákona č. 114/1992 Sb. o ochraně přírody a krajiny na několika kategoriích životního prostředí. V případě, že projekt naplňuje ještě hodnocení dle zákona č. 100/2001 Sb., je prováděno zjišťovací řízení EIA nebo přímo proces EIA, kde se hodnotí i vliv na vodní zdroje.</w:t>
      </w:r>
    </w:p>
    <w:p w14:paraId="5386C1AA" w14:textId="77777777" w:rsidR="00C94608" w:rsidRDefault="00C94608" w:rsidP="00C94608">
      <w:pPr>
        <w:rPr>
          <w:iCs/>
        </w:rPr>
      </w:pPr>
      <w:r>
        <w:rPr>
          <w:iCs/>
        </w:rPr>
        <w:t xml:space="preserve">Stavebník se bude řídit opatřením k tomuto cíli ke snížení spotřeby pitné vody, ztrát ve vodohospodářské infrastruktuře a podpoře znovuvyužití částečně čištěných odpadních (šedých) vod. Následná opatření týkající se vypouštění odpadních vod se vztahují na vodní zákon č. 254/2001 Sb., případně zákon č. 274/2001 Sb. o vodovodech a kanalizacích. </w:t>
      </w:r>
      <w:r>
        <w:rPr>
          <w:iCs/>
        </w:rPr>
        <w:lastRenderedPageBreak/>
        <w:t>V oblastech s výskytem infekčních vod se odkazuje na zákon č. 258/2000 Sb. o ochraně veřejného zdraví.</w:t>
      </w:r>
    </w:p>
    <w:p w14:paraId="73C073E4" w14:textId="77777777" w:rsidR="00C94608" w:rsidRDefault="00C94608" w:rsidP="00C94608">
      <w:pPr>
        <w:rPr>
          <w:iCs/>
        </w:rPr>
      </w:pPr>
      <w:r>
        <w:rPr>
          <w:iCs/>
        </w:rPr>
        <w:t xml:space="preserve">Při pořizování vnitřního vybavení budovy bude dbáno na optimalizaci spotřeby vody prostřednictvím instalace produktů, které mají dvě nejvyšší hodnocení EU </w:t>
      </w:r>
      <w:proofErr w:type="spellStart"/>
      <w:r>
        <w:rPr>
          <w:iCs/>
        </w:rPr>
        <w:t>Water</w:t>
      </w:r>
      <w:proofErr w:type="spellEnd"/>
      <w:r>
        <w:rPr>
          <w:iCs/>
        </w:rPr>
        <w:t xml:space="preserve"> Label (průtok vody technikou v litrech za minutu) nebo splňují následující parametry, které budou doloženy technickým listem produktu:</w:t>
      </w:r>
    </w:p>
    <w:p w14:paraId="392AE990" w14:textId="77777777" w:rsidR="00C94608" w:rsidRPr="002D2EC3" w:rsidRDefault="00C94608" w:rsidP="00C94608">
      <w:pPr>
        <w:pStyle w:val="Defaul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2EC3">
        <w:rPr>
          <w:rFonts w:ascii="Arial" w:hAnsi="Arial" w:cs="Arial"/>
          <w:sz w:val="22"/>
          <w:szCs w:val="22"/>
        </w:rPr>
        <w:t>umyvadlové baterie a kuchyňské baterie mají maximální průtok vody 6 litrů/min,</w:t>
      </w:r>
    </w:p>
    <w:p w14:paraId="3E4F1D58" w14:textId="77777777" w:rsidR="00C94608" w:rsidRPr="002D2EC3" w:rsidRDefault="00C94608" w:rsidP="00C94608">
      <w:pPr>
        <w:pStyle w:val="Defaul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2EC3">
        <w:rPr>
          <w:rFonts w:ascii="Arial" w:hAnsi="Arial" w:cs="Arial"/>
          <w:sz w:val="22"/>
          <w:szCs w:val="22"/>
        </w:rPr>
        <w:t>sprchy mají maximální průtok vody 8 litrů/min,</w:t>
      </w:r>
    </w:p>
    <w:p w14:paraId="7C257F40" w14:textId="77777777" w:rsidR="00C94608" w:rsidRPr="002D2EC3" w:rsidRDefault="00C94608" w:rsidP="00C94608">
      <w:pPr>
        <w:pStyle w:val="Defaul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2EC3">
        <w:rPr>
          <w:rFonts w:ascii="Arial" w:hAnsi="Arial" w:cs="Arial"/>
          <w:sz w:val="22"/>
          <w:szCs w:val="22"/>
        </w:rPr>
        <w:t>WC, zahrnující soupravy, mísy a splachovací nádrže, mají úplný objem splachovací body maximálně 6 litrů a maximální průměrný objem splachovací vody 3,5 litru,</w:t>
      </w:r>
    </w:p>
    <w:p w14:paraId="458FA2A0" w14:textId="77777777" w:rsidR="00C94608" w:rsidRDefault="00C94608" w:rsidP="00C94608">
      <w:pPr>
        <w:pStyle w:val="Defaul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2EC3">
        <w:rPr>
          <w:rFonts w:ascii="Arial" w:hAnsi="Arial" w:cs="Arial"/>
          <w:sz w:val="22"/>
          <w:szCs w:val="22"/>
        </w:rPr>
        <w:t>pisoáry spotřebují maximálně 2 litry/mísu/hodinu.</w:t>
      </w:r>
    </w:p>
    <w:p w14:paraId="325EAF04" w14:textId="77777777" w:rsidR="00C94608" w:rsidRDefault="00C94608" w:rsidP="00C94608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56CEC97" w14:textId="77777777" w:rsidR="00C94608" w:rsidRPr="00C57B30" w:rsidRDefault="00C94608" w:rsidP="00C94608">
      <w:pPr>
        <w:pStyle w:val="Odstavecseseznamem"/>
        <w:widowControl w:val="0"/>
        <w:numPr>
          <w:ilvl w:val="0"/>
          <w:numId w:val="6"/>
        </w:numPr>
        <w:suppressAutoHyphens w:val="0"/>
        <w:autoSpaceDE w:val="0"/>
        <w:spacing w:after="0" w:line="240" w:lineRule="auto"/>
        <w:jc w:val="both"/>
        <w:textAlignment w:val="auto"/>
        <w:rPr>
          <w:rFonts w:ascii="Arial" w:hAnsi="Arial" w:cs="Arial"/>
          <w:b/>
          <w:bCs/>
          <w:szCs w:val="20"/>
        </w:rPr>
      </w:pPr>
      <w:r w:rsidRPr="00C57B30">
        <w:rPr>
          <w:rFonts w:ascii="Arial" w:hAnsi="Arial" w:cs="Arial"/>
          <w:b/>
          <w:bCs/>
          <w:szCs w:val="20"/>
        </w:rPr>
        <w:t>Cíl přechod na oběhové hospodářství</w:t>
      </w:r>
    </w:p>
    <w:p w14:paraId="6EBD4946" w14:textId="77777777" w:rsidR="00C94608" w:rsidRPr="002D2EC3" w:rsidRDefault="00C94608" w:rsidP="00C94608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EB0FC56" w14:textId="77777777" w:rsidR="00C94608" w:rsidRPr="00DE3455" w:rsidRDefault="00C94608" w:rsidP="00C94608">
      <w:pPr>
        <w:rPr>
          <w:iCs/>
        </w:rPr>
      </w:pPr>
      <w:r>
        <w:rPr>
          <w:iCs/>
        </w:rPr>
        <w:t>Činnost nesmí významně poškodit enviromentální cíl vzhledem k nehospodárnosti v použití materiálu nebo v přímém a nepřímém využívání přírodních zdrojů. Dbá se na omezení spalování a dlouhodobé odstraňování odpadu, které může způsobit významné a dlouhodobé škody na životním prostředí.</w:t>
      </w:r>
    </w:p>
    <w:p w14:paraId="16CD5D77" w14:textId="77777777" w:rsidR="00C94608" w:rsidRDefault="00C94608" w:rsidP="00C94608">
      <w:pPr>
        <w:widowControl w:val="0"/>
        <w:autoSpaceDE w:val="0"/>
        <w:spacing w:after="0" w:line="240" w:lineRule="auto"/>
        <w:rPr>
          <w:rFonts w:cs="Arial"/>
          <w:b/>
          <w:bCs/>
          <w:szCs w:val="20"/>
        </w:rPr>
      </w:pPr>
    </w:p>
    <w:p w14:paraId="5F875933" w14:textId="77777777" w:rsidR="00C94608" w:rsidRPr="008B500A" w:rsidRDefault="00C94608" w:rsidP="00C94608">
      <w:r w:rsidRPr="008B500A">
        <w:rPr>
          <w:b/>
          <w:bCs/>
        </w:rPr>
        <w:t>Definice odpadu</w:t>
      </w:r>
    </w:p>
    <w:p w14:paraId="6675D17E" w14:textId="77777777" w:rsidR="00C94608" w:rsidRDefault="00C94608" w:rsidP="00C94608">
      <w:r>
        <w:t>Dle směrnice Evropského parlamentu a Rady (ES) č. 98/2008 o odpadech a zrušení některých směrnic, je odpadem jakákoli látka nebo předmět, kterých se držitel zbavuje nebo má v úmyslu se zbavit nebo se od něho požaduje, aby se jich zbavil.</w:t>
      </w:r>
    </w:p>
    <w:p w14:paraId="50F2B20D" w14:textId="77777777" w:rsidR="00C94608" w:rsidRDefault="00C94608" w:rsidP="00C94608">
      <w:r>
        <w:t>Směrnice dále stanovuje hierarchii způsobů nakládání s odpady jako pořadí priorit pro politiku v oblasti předcházení vzniků odpadů a nakládání s nimi:</w:t>
      </w:r>
    </w:p>
    <w:p w14:paraId="09A5906A" w14:textId="77777777" w:rsidR="00C94608" w:rsidRPr="00C57B30" w:rsidRDefault="00C94608" w:rsidP="00C94608">
      <w:pPr>
        <w:pStyle w:val="Odstavecseseznamem"/>
        <w:numPr>
          <w:ilvl w:val="0"/>
          <w:numId w:val="10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Arial" w:hAnsi="Arial"/>
          <w:color w:val="000000"/>
          <w:szCs w:val="24"/>
          <w:lang w:eastAsia="cs-CZ"/>
        </w:rPr>
      </w:pPr>
      <w:r w:rsidRPr="00C57B30">
        <w:rPr>
          <w:rFonts w:ascii="Arial" w:hAnsi="Arial"/>
          <w:color w:val="000000"/>
          <w:szCs w:val="24"/>
          <w:lang w:eastAsia="cs-CZ"/>
        </w:rPr>
        <w:t>předcházení vzniku,</w:t>
      </w:r>
    </w:p>
    <w:p w14:paraId="2FA1F75E" w14:textId="77777777" w:rsidR="00C94608" w:rsidRPr="00C57B30" w:rsidRDefault="00C94608" w:rsidP="00C94608">
      <w:pPr>
        <w:pStyle w:val="Odstavecseseznamem"/>
        <w:numPr>
          <w:ilvl w:val="0"/>
          <w:numId w:val="10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Arial" w:hAnsi="Arial"/>
          <w:color w:val="000000"/>
          <w:szCs w:val="24"/>
          <w:lang w:eastAsia="cs-CZ"/>
        </w:rPr>
      </w:pPr>
      <w:r w:rsidRPr="00C57B30">
        <w:rPr>
          <w:rFonts w:ascii="Arial" w:hAnsi="Arial"/>
          <w:color w:val="000000"/>
          <w:szCs w:val="24"/>
          <w:lang w:eastAsia="cs-CZ"/>
        </w:rPr>
        <w:t>příprava na opětovné použití,</w:t>
      </w:r>
    </w:p>
    <w:p w14:paraId="739BA836" w14:textId="77777777" w:rsidR="00C94608" w:rsidRPr="00C57B30" w:rsidRDefault="00C94608" w:rsidP="00C94608">
      <w:pPr>
        <w:pStyle w:val="Odstavecseseznamem"/>
        <w:numPr>
          <w:ilvl w:val="0"/>
          <w:numId w:val="10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Arial" w:hAnsi="Arial"/>
          <w:color w:val="000000"/>
          <w:szCs w:val="24"/>
          <w:lang w:eastAsia="cs-CZ"/>
        </w:rPr>
      </w:pPr>
      <w:r w:rsidRPr="00C57B30">
        <w:rPr>
          <w:rFonts w:ascii="Arial" w:hAnsi="Arial"/>
          <w:color w:val="000000"/>
          <w:szCs w:val="24"/>
          <w:lang w:eastAsia="cs-CZ"/>
        </w:rPr>
        <w:t>recyklace,</w:t>
      </w:r>
    </w:p>
    <w:p w14:paraId="3591225E" w14:textId="77777777" w:rsidR="00C94608" w:rsidRPr="00C57B30" w:rsidRDefault="00C94608" w:rsidP="00C94608">
      <w:pPr>
        <w:pStyle w:val="Odstavecseseznamem"/>
        <w:numPr>
          <w:ilvl w:val="0"/>
          <w:numId w:val="10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Arial" w:hAnsi="Arial"/>
          <w:color w:val="000000"/>
          <w:szCs w:val="24"/>
          <w:lang w:eastAsia="cs-CZ"/>
        </w:rPr>
      </w:pPr>
      <w:r w:rsidRPr="00C57B30">
        <w:rPr>
          <w:rFonts w:ascii="Arial" w:hAnsi="Arial"/>
          <w:color w:val="000000"/>
          <w:szCs w:val="24"/>
          <w:lang w:eastAsia="cs-CZ"/>
        </w:rPr>
        <w:t>jiné využití např. zásypy,</w:t>
      </w:r>
    </w:p>
    <w:p w14:paraId="1BE048A4" w14:textId="77777777" w:rsidR="00C94608" w:rsidRPr="00C57B30" w:rsidRDefault="00C94608" w:rsidP="00C94608">
      <w:pPr>
        <w:pStyle w:val="Odstavecseseznamem"/>
        <w:numPr>
          <w:ilvl w:val="0"/>
          <w:numId w:val="10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Arial" w:hAnsi="Arial"/>
          <w:color w:val="000000"/>
          <w:szCs w:val="24"/>
          <w:lang w:eastAsia="cs-CZ"/>
        </w:rPr>
      </w:pPr>
      <w:r w:rsidRPr="00C57B30">
        <w:rPr>
          <w:rFonts w:ascii="Arial" w:hAnsi="Arial"/>
          <w:color w:val="000000"/>
          <w:szCs w:val="24"/>
          <w:lang w:eastAsia="cs-CZ"/>
        </w:rPr>
        <w:t>odstranění.</w:t>
      </w:r>
    </w:p>
    <w:p w14:paraId="064F82EA" w14:textId="77777777" w:rsidR="00C94608" w:rsidRPr="002D2EC3" w:rsidRDefault="00C94608" w:rsidP="00C94608">
      <w:pPr>
        <w:widowControl w:val="0"/>
        <w:autoSpaceDE w:val="0"/>
        <w:spacing w:after="0" w:line="240" w:lineRule="auto"/>
        <w:rPr>
          <w:rFonts w:cs="Arial"/>
          <w:b/>
          <w:bCs/>
          <w:szCs w:val="20"/>
        </w:rPr>
      </w:pPr>
    </w:p>
    <w:p w14:paraId="335DFB7D" w14:textId="77777777" w:rsidR="00C94608" w:rsidRDefault="00C94608" w:rsidP="00C94608">
      <w:r>
        <w:t>Odp</w:t>
      </w:r>
      <w:r w:rsidRPr="008A763B">
        <w:t>ady, vznikající p</w:t>
      </w:r>
      <w:r>
        <w:t>ř</w:t>
      </w:r>
      <w:r w:rsidRPr="008A763B">
        <w:t>i uskute</w:t>
      </w:r>
      <w:r>
        <w:t>čň</w:t>
      </w:r>
      <w:r w:rsidRPr="008A763B">
        <w:t xml:space="preserve">ování, </w:t>
      </w:r>
      <w:r>
        <w:t>údržbě,</w:t>
      </w:r>
      <w:r w:rsidRPr="008A763B">
        <w:t xml:space="preserve"> rekonstrukcích a odstraňován</w:t>
      </w:r>
      <w:r>
        <w:t>í</w:t>
      </w:r>
      <w:r w:rsidRPr="008A763B">
        <w:t xml:space="preserve"> staveb, </w:t>
      </w:r>
      <w:r>
        <w:t xml:space="preserve">jsou </w:t>
      </w:r>
      <w:r w:rsidRPr="008A763B">
        <w:t>naz</w:t>
      </w:r>
      <w:r>
        <w:t>ý</w:t>
      </w:r>
      <w:r w:rsidRPr="008A763B">
        <w:t>van</w:t>
      </w:r>
      <w:r>
        <w:t>é</w:t>
      </w:r>
      <w:r w:rsidRPr="008A763B">
        <w:t xml:space="preserve"> v souladu s názvem podskupiny odpadů v Katalogu odpadů jako „stavební a</w:t>
      </w:r>
      <w:r>
        <w:t> </w:t>
      </w:r>
      <w:r w:rsidRPr="008A763B">
        <w:t>demoliční odpady“</w:t>
      </w:r>
      <w:r>
        <w:t>. Jedná se o odpad vznikající při zřizování staveb, jejich údržbě, při změnách dokončených staveb a odstraňování staveb zařazovaný do skupiny 17 Katalogu odpadů (zejména vytěžené zeminy, stavební výrobky a materiály).</w:t>
      </w:r>
    </w:p>
    <w:p w14:paraId="3785B1E5" w14:textId="77777777" w:rsidR="00C94608" w:rsidRDefault="00C94608" w:rsidP="00C94608">
      <w:r>
        <w:t xml:space="preserve">Do hmotnostního procenta je započítáván </w:t>
      </w:r>
      <w:r w:rsidRPr="00DF7FD6">
        <w:t>i stavební nebo demoliční odpad, který je znovu využi</w:t>
      </w:r>
      <w:r>
        <w:t>t, potažmo je předejito jeho vzniku, dle</w:t>
      </w:r>
      <w:r>
        <w:rPr>
          <w:rFonts w:cs="Arial"/>
          <w:b/>
          <w:bCs/>
          <w:color w:val="FF8400"/>
          <w:sz w:val="20"/>
          <w:szCs w:val="20"/>
          <w:shd w:val="clear" w:color="auto" w:fill="FFFFFF"/>
        </w:rPr>
        <w:t xml:space="preserve"> </w:t>
      </w:r>
      <w:r w:rsidRPr="00195351">
        <w:t>§ 3</w:t>
      </w:r>
      <w:r>
        <w:t xml:space="preserve"> zákona 541/2020 Sb. o odpadech</w:t>
      </w:r>
      <w:r w:rsidRPr="00DF7FD6">
        <w:t xml:space="preserve">. </w:t>
      </w:r>
      <w:r>
        <w:t xml:space="preserve">Dle hierarchie odpadů se do hmotnostního procenta započítává </w:t>
      </w:r>
      <w:r w:rsidRPr="0010605B">
        <w:t>bod 1-4</w:t>
      </w:r>
      <w:r>
        <w:t>. Energetické využití odpadů není podporováno.</w:t>
      </w:r>
    </w:p>
    <w:p w14:paraId="1F065C9C" w14:textId="77777777" w:rsidR="00C94608" w:rsidRDefault="00C94608" w:rsidP="00C94608">
      <w:r>
        <w:t xml:space="preserve">V rámci technické zprávy dokumentace stavby bude pro výstavbu, příp. pro renovaci provedena bližší identifikace předpokládaných odpadních materiálů na staveništi, tedy bude vytvořen plán nakládání s odpadem. Identifikace bude provedena kvalifikovaným odhadem s ohledem na druh odpadu a jeho zatřídění (podle vyhlášky č. 8/2021 Sb.) a stanovení </w:t>
      </w:r>
      <w:r>
        <w:lastRenderedPageBreak/>
        <w:t xml:space="preserve">přibližného objemu (hmotnosti). Zvlášť bude identifikován nebezpečný odpad v rozsahu vyhlášky 8/2021 Sb. </w:t>
      </w:r>
    </w:p>
    <w:p w14:paraId="521B8BE9" w14:textId="77777777" w:rsidR="00C94608" w:rsidRDefault="00C94608" w:rsidP="00C94608">
      <w:r>
        <w:t>Do celkového množství odpadu se nezapočítává nebezpečný odpad, který se musí vhodně likvidovat podle vnitrostátních předpisů o nebezpečných odpadech.</w:t>
      </w:r>
    </w:p>
    <w:p w14:paraId="05D34F2D" w14:textId="77777777" w:rsidR="00C94608" w:rsidRDefault="00C94608" w:rsidP="00C94608">
      <w:pPr>
        <w:rPr>
          <w:rFonts w:cstheme="minorHAnsi"/>
        </w:rPr>
      </w:pPr>
      <w:r w:rsidRPr="008A4F5A">
        <w:rPr>
          <w:rFonts w:cstheme="minorHAnsi"/>
        </w:rPr>
        <w:t xml:space="preserve">Pro identifikaci odpadních materiálů na staveništi </w:t>
      </w:r>
      <w:r>
        <w:rPr>
          <w:rFonts w:cstheme="minorHAnsi"/>
        </w:rPr>
        <w:t>může být využit</w:t>
      </w:r>
      <w:r w:rsidRPr="008A4F5A">
        <w:rPr>
          <w:rFonts w:cstheme="minorHAnsi"/>
        </w:rPr>
        <w:t xml:space="preserve"> tento vzor (zjednodušený plán nakládání s odpadem). Identifikaci provede zhotovitel stavby a plán bude součástí stavebního deníku.</w:t>
      </w:r>
    </w:p>
    <w:p w14:paraId="1691298C" w14:textId="77777777" w:rsidR="00C94608" w:rsidRPr="00816B8D" w:rsidRDefault="00C94608" w:rsidP="00C94608">
      <w:pPr>
        <w:rPr>
          <w:rFonts w:cstheme="minorHAnsi"/>
          <w:b/>
          <w:bCs/>
        </w:rPr>
      </w:pPr>
      <w:r w:rsidRPr="00816B8D">
        <w:rPr>
          <w:rFonts w:cstheme="minorHAnsi"/>
          <w:b/>
          <w:bCs/>
        </w:rPr>
        <w:t>VZOR</w:t>
      </w:r>
    </w:p>
    <w:p w14:paraId="59F39C2D" w14:textId="77777777" w:rsidR="00C94608" w:rsidRPr="008A4F5A" w:rsidRDefault="00C94608" w:rsidP="00C94608">
      <w:pPr>
        <w:spacing w:after="0"/>
        <w:rPr>
          <w:rFonts w:cstheme="minorHAnsi"/>
          <w:i/>
          <w:iCs/>
          <w:u w:val="single"/>
        </w:rPr>
      </w:pPr>
      <w:r w:rsidRPr="008A4F5A">
        <w:rPr>
          <w:rFonts w:cstheme="minorHAnsi"/>
          <w:i/>
          <w:iCs/>
          <w:u w:val="single"/>
        </w:rPr>
        <w:t>Zjednodušený plán nakládání s odpadem</w:t>
      </w:r>
    </w:p>
    <w:p w14:paraId="71BB4CA7" w14:textId="77777777" w:rsidR="00C94608" w:rsidRPr="008A4F5A" w:rsidRDefault="00C94608" w:rsidP="00C94608">
      <w:pPr>
        <w:spacing w:after="0"/>
        <w:rPr>
          <w:rFonts w:cstheme="minorHAnsi"/>
          <w:i/>
          <w:iCs/>
        </w:rPr>
      </w:pPr>
      <w:r w:rsidRPr="008A4F5A">
        <w:rPr>
          <w:rFonts w:cstheme="minorHAnsi"/>
          <w:i/>
          <w:iCs/>
        </w:rPr>
        <w:t>Zhotovitel:</w:t>
      </w:r>
    </w:p>
    <w:p w14:paraId="3978887F" w14:textId="77777777" w:rsidR="00C94608" w:rsidRPr="008A4F5A" w:rsidRDefault="00C94608" w:rsidP="00C94608">
      <w:pPr>
        <w:spacing w:after="0"/>
        <w:rPr>
          <w:rFonts w:cstheme="minorHAnsi"/>
          <w:i/>
          <w:iCs/>
        </w:rPr>
      </w:pPr>
      <w:r w:rsidRPr="008A4F5A">
        <w:rPr>
          <w:rFonts w:cstheme="minorHAnsi"/>
          <w:i/>
          <w:iCs/>
        </w:rPr>
        <w:t>Jména a příjmení odpovědné osoby zhotovitele:</w:t>
      </w:r>
    </w:p>
    <w:p w14:paraId="60194448" w14:textId="77777777" w:rsidR="00C94608" w:rsidRPr="008A4F5A" w:rsidRDefault="00C94608" w:rsidP="00C94608">
      <w:pPr>
        <w:spacing w:after="0"/>
        <w:rPr>
          <w:rFonts w:cstheme="minorHAnsi"/>
          <w:i/>
          <w:iCs/>
        </w:rPr>
      </w:pPr>
      <w:r w:rsidRPr="008A4F5A">
        <w:rPr>
          <w:rFonts w:cstheme="minorHAnsi"/>
          <w:i/>
          <w:iCs/>
        </w:rPr>
        <w:t>Datum provedení:</w:t>
      </w:r>
    </w:p>
    <w:p w14:paraId="445D5752" w14:textId="77777777" w:rsidR="00C94608" w:rsidRDefault="00C94608" w:rsidP="00C94608">
      <w:pPr>
        <w:spacing w:after="0"/>
        <w:rPr>
          <w:rFonts w:cstheme="minorHAnsi"/>
          <w:i/>
          <w:iCs/>
        </w:rPr>
      </w:pPr>
      <w:r w:rsidRPr="008A4F5A">
        <w:rPr>
          <w:rFonts w:cstheme="minorHAnsi"/>
          <w:i/>
          <w:iCs/>
        </w:rPr>
        <w:t>Podpis</w:t>
      </w:r>
    </w:p>
    <w:p w14:paraId="4BEBC479" w14:textId="77777777" w:rsidR="00C94608" w:rsidRDefault="00C94608" w:rsidP="00C94608">
      <w:pPr>
        <w:spacing w:after="0" w:line="240" w:lineRule="auto"/>
        <w:rPr>
          <w:rFonts w:cstheme="minorHAnsi"/>
          <w:i/>
          <w:iCs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1762"/>
        <w:gridCol w:w="2162"/>
        <w:gridCol w:w="1805"/>
        <w:gridCol w:w="3338"/>
      </w:tblGrid>
      <w:tr w:rsidR="00C94608" w:rsidRPr="008A4F5A" w14:paraId="4835CE80" w14:textId="77777777" w:rsidTr="004260F5">
        <w:tc>
          <w:tcPr>
            <w:tcW w:w="1762" w:type="dxa"/>
          </w:tcPr>
          <w:p w14:paraId="2EDD2E13" w14:textId="77777777" w:rsidR="00C94608" w:rsidRPr="008A4F5A" w:rsidRDefault="00C94608" w:rsidP="004260F5">
            <w:pPr>
              <w:rPr>
                <w:rFonts w:cstheme="minorHAnsi"/>
                <w:i/>
                <w:iCs/>
              </w:rPr>
            </w:pPr>
            <w:r w:rsidRPr="008A4F5A">
              <w:rPr>
                <w:rFonts w:cstheme="minorHAnsi"/>
                <w:i/>
                <w:iCs/>
              </w:rPr>
              <w:t>Katalogové číslo</w:t>
            </w:r>
          </w:p>
        </w:tc>
        <w:tc>
          <w:tcPr>
            <w:tcW w:w="2162" w:type="dxa"/>
          </w:tcPr>
          <w:p w14:paraId="763D59C1" w14:textId="77777777" w:rsidR="00C94608" w:rsidRPr="008A4F5A" w:rsidRDefault="00C94608" w:rsidP="004260F5">
            <w:pPr>
              <w:rPr>
                <w:rFonts w:cstheme="minorHAnsi"/>
                <w:i/>
                <w:iCs/>
              </w:rPr>
            </w:pPr>
            <w:r w:rsidRPr="008A4F5A">
              <w:rPr>
                <w:rFonts w:cstheme="minorHAnsi"/>
                <w:i/>
                <w:iCs/>
              </w:rPr>
              <w:t>Název a druh odpadu</w:t>
            </w:r>
          </w:p>
        </w:tc>
        <w:tc>
          <w:tcPr>
            <w:tcW w:w="1805" w:type="dxa"/>
          </w:tcPr>
          <w:p w14:paraId="2AA92C90" w14:textId="77777777" w:rsidR="00C94608" w:rsidRPr="008A4F5A" w:rsidRDefault="00C94608" w:rsidP="004260F5">
            <w:pPr>
              <w:rPr>
                <w:rFonts w:cstheme="minorHAnsi"/>
                <w:i/>
                <w:iCs/>
              </w:rPr>
            </w:pPr>
            <w:r w:rsidRPr="008A4F5A">
              <w:rPr>
                <w:rFonts w:cstheme="minorHAnsi"/>
                <w:i/>
                <w:iCs/>
              </w:rPr>
              <w:t>Odhadovaná hmotnost</w:t>
            </w:r>
            <w:r>
              <w:rPr>
                <w:rFonts w:cstheme="minorHAnsi"/>
                <w:i/>
                <w:iCs/>
              </w:rPr>
              <w:t xml:space="preserve"> (t)</w:t>
            </w:r>
          </w:p>
        </w:tc>
        <w:tc>
          <w:tcPr>
            <w:tcW w:w="3338" w:type="dxa"/>
          </w:tcPr>
          <w:p w14:paraId="371F5612" w14:textId="77777777" w:rsidR="00C94608" w:rsidRPr="008A4F5A" w:rsidRDefault="00C94608" w:rsidP="004260F5">
            <w:pPr>
              <w:rPr>
                <w:rFonts w:cstheme="minorHAnsi"/>
                <w:i/>
                <w:iCs/>
              </w:rPr>
            </w:pPr>
            <w:r w:rsidRPr="008A4F5A">
              <w:rPr>
                <w:rFonts w:cstheme="minorHAnsi"/>
                <w:i/>
                <w:iCs/>
              </w:rPr>
              <w:t>Předpokládaný způsob naložení s odpadem (dle hierarchie)</w:t>
            </w:r>
          </w:p>
        </w:tc>
      </w:tr>
      <w:tr w:rsidR="00C94608" w:rsidRPr="008A4F5A" w14:paraId="74ADECA8" w14:textId="77777777" w:rsidTr="004260F5">
        <w:trPr>
          <w:trHeight w:val="362"/>
        </w:trPr>
        <w:tc>
          <w:tcPr>
            <w:tcW w:w="1762" w:type="dxa"/>
          </w:tcPr>
          <w:p w14:paraId="533FD5CC" w14:textId="77777777" w:rsidR="00C94608" w:rsidRPr="008A4F5A" w:rsidRDefault="00C94608" w:rsidP="004260F5">
            <w:pPr>
              <w:rPr>
                <w:rFonts w:cstheme="minorHAnsi"/>
                <w:i/>
                <w:iCs/>
              </w:rPr>
            </w:pPr>
          </w:p>
        </w:tc>
        <w:tc>
          <w:tcPr>
            <w:tcW w:w="2162" w:type="dxa"/>
          </w:tcPr>
          <w:p w14:paraId="52F9D005" w14:textId="77777777" w:rsidR="00C94608" w:rsidRPr="008A4F5A" w:rsidRDefault="00C94608" w:rsidP="004260F5">
            <w:pPr>
              <w:rPr>
                <w:rFonts w:cstheme="minorHAnsi"/>
                <w:i/>
                <w:iCs/>
              </w:rPr>
            </w:pPr>
          </w:p>
        </w:tc>
        <w:tc>
          <w:tcPr>
            <w:tcW w:w="1805" w:type="dxa"/>
          </w:tcPr>
          <w:p w14:paraId="54AE32A5" w14:textId="77777777" w:rsidR="00C94608" w:rsidRPr="008A4F5A" w:rsidRDefault="00C94608" w:rsidP="004260F5">
            <w:pPr>
              <w:rPr>
                <w:rFonts w:cstheme="minorHAnsi"/>
                <w:i/>
                <w:iCs/>
              </w:rPr>
            </w:pPr>
          </w:p>
        </w:tc>
        <w:tc>
          <w:tcPr>
            <w:tcW w:w="3338" w:type="dxa"/>
          </w:tcPr>
          <w:p w14:paraId="39D9D42F" w14:textId="77777777" w:rsidR="00C94608" w:rsidRPr="008A4F5A" w:rsidRDefault="00C94608" w:rsidP="004260F5">
            <w:pPr>
              <w:rPr>
                <w:rFonts w:cstheme="minorHAnsi"/>
                <w:i/>
                <w:iCs/>
              </w:rPr>
            </w:pPr>
          </w:p>
        </w:tc>
      </w:tr>
      <w:tr w:rsidR="00C94608" w:rsidRPr="008A4F5A" w14:paraId="766D7EF5" w14:textId="77777777" w:rsidTr="004260F5">
        <w:tc>
          <w:tcPr>
            <w:tcW w:w="1762" w:type="dxa"/>
          </w:tcPr>
          <w:p w14:paraId="4F5CE436" w14:textId="77777777" w:rsidR="00C94608" w:rsidRPr="008A4F5A" w:rsidRDefault="00C94608" w:rsidP="004260F5">
            <w:pPr>
              <w:rPr>
                <w:rFonts w:cstheme="minorHAnsi"/>
                <w:i/>
                <w:iCs/>
              </w:rPr>
            </w:pPr>
          </w:p>
        </w:tc>
        <w:tc>
          <w:tcPr>
            <w:tcW w:w="2162" w:type="dxa"/>
          </w:tcPr>
          <w:p w14:paraId="39ABDD22" w14:textId="77777777" w:rsidR="00C94608" w:rsidRPr="008A4F5A" w:rsidRDefault="00C94608" w:rsidP="004260F5">
            <w:pPr>
              <w:rPr>
                <w:rFonts w:cstheme="minorHAnsi"/>
                <w:i/>
                <w:iCs/>
              </w:rPr>
            </w:pPr>
          </w:p>
        </w:tc>
        <w:tc>
          <w:tcPr>
            <w:tcW w:w="1805" w:type="dxa"/>
          </w:tcPr>
          <w:p w14:paraId="114F4250" w14:textId="77777777" w:rsidR="00C94608" w:rsidRPr="008A4F5A" w:rsidRDefault="00C94608" w:rsidP="004260F5">
            <w:pPr>
              <w:rPr>
                <w:rFonts w:cstheme="minorHAnsi"/>
                <w:i/>
                <w:iCs/>
              </w:rPr>
            </w:pPr>
          </w:p>
        </w:tc>
        <w:tc>
          <w:tcPr>
            <w:tcW w:w="3338" w:type="dxa"/>
          </w:tcPr>
          <w:p w14:paraId="28AFAC30" w14:textId="77777777" w:rsidR="00C94608" w:rsidRPr="008A4F5A" w:rsidRDefault="00C94608" w:rsidP="004260F5">
            <w:pPr>
              <w:rPr>
                <w:rFonts w:cstheme="minorHAnsi"/>
                <w:i/>
                <w:iCs/>
              </w:rPr>
            </w:pPr>
          </w:p>
        </w:tc>
      </w:tr>
      <w:tr w:rsidR="00C94608" w:rsidRPr="008A4F5A" w14:paraId="0851A354" w14:textId="77777777" w:rsidTr="004260F5">
        <w:tc>
          <w:tcPr>
            <w:tcW w:w="1762" w:type="dxa"/>
          </w:tcPr>
          <w:p w14:paraId="61AC6ED1" w14:textId="77777777" w:rsidR="00C94608" w:rsidRPr="008A4F5A" w:rsidRDefault="00C94608" w:rsidP="004260F5">
            <w:pPr>
              <w:rPr>
                <w:rFonts w:cstheme="minorHAnsi"/>
                <w:i/>
                <w:iCs/>
              </w:rPr>
            </w:pPr>
          </w:p>
        </w:tc>
        <w:tc>
          <w:tcPr>
            <w:tcW w:w="2162" w:type="dxa"/>
          </w:tcPr>
          <w:p w14:paraId="2F2444D5" w14:textId="77777777" w:rsidR="00C94608" w:rsidRPr="008A4F5A" w:rsidRDefault="00C94608" w:rsidP="004260F5">
            <w:pPr>
              <w:rPr>
                <w:rFonts w:cstheme="minorHAnsi"/>
                <w:i/>
                <w:iCs/>
              </w:rPr>
            </w:pPr>
          </w:p>
        </w:tc>
        <w:tc>
          <w:tcPr>
            <w:tcW w:w="1805" w:type="dxa"/>
          </w:tcPr>
          <w:p w14:paraId="1D71715A" w14:textId="77777777" w:rsidR="00C94608" w:rsidRPr="008A4F5A" w:rsidRDefault="00C94608" w:rsidP="004260F5">
            <w:pPr>
              <w:rPr>
                <w:rFonts w:cstheme="minorHAnsi"/>
                <w:i/>
                <w:iCs/>
              </w:rPr>
            </w:pPr>
          </w:p>
        </w:tc>
        <w:tc>
          <w:tcPr>
            <w:tcW w:w="3338" w:type="dxa"/>
          </w:tcPr>
          <w:p w14:paraId="24165899" w14:textId="77777777" w:rsidR="00C94608" w:rsidRPr="008A4F5A" w:rsidRDefault="00C94608" w:rsidP="004260F5">
            <w:pPr>
              <w:rPr>
                <w:rFonts w:cstheme="minorHAnsi"/>
                <w:i/>
                <w:iCs/>
              </w:rPr>
            </w:pPr>
          </w:p>
        </w:tc>
      </w:tr>
      <w:tr w:rsidR="00C94608" w:rsidRPr="008A4F5A" w14:paraId="13397A14" w14:textId="77777777" w:rsidTr="004260F5">
        <w:tc>
          <w:tcPr>
            <w:tcW w:w="1762" w:type="dxa"/>
          </w:tcPr>
          <w:p w14:paraId="3EF37467" w14:textId="77777777" w:rsidR="00C94608" w:rsidRPr="008A4F5A" w:rsidRDefault="00C94608" w:rsidP="004260F5">
            <w:pPr>
              <w:rPr>
                <w:rFonts w:cstheme="minorHAnsi"/>
                <w:i/>
                <w:iCs/>
              </w:rPr>
            </w:pPr>
          </w:p>
        </w:tc>
        <w:tc>
          <w:tcPr>
            <w:tcW w:w="2162" w:type="dxa"/>
          </w:tcPr>
          <w:p w14:paraId="1CC577AD" w14:textId="77777777" w:rsidR="00C94608" w:rsidRPr="008A4F5A" w:rsidRDefault="00C94608" w:rsidP="004260F5">
            <w:pPr>
              <w:rPr>
                <w:rFonts w:cstheme="minorHAnsi"/>
                <w:i/>
                <w:iCs/>
              </w:rPr>
            </w:pPr>
          </w:p>
        </w:tc>
        <w:tc>
          <w:tcPr>
            <w:tcW w:w="1805" w:type="dxa"/>
          </w:tcPr>
          <w:p w14:paraId="5E8CDCAC" w14:textId="77777777" w:rsidR="00C94608" w:rsidRPr="008A4F5A" w:rsidRDefault="00C94608" w:rsidP="004260F5">
            <w:pPr>
              <w:rPr>
                <w:rFonts w:cstheme="minorHAnsi"/>
                <w:i/>
                <w:iCs/>
              </w:rPr>
            </w:pPr>
          </w:p>
        </w:tc>
        <w:tc>
          <w:tcPr>
            <w:tcW w:w="3338" w:type="dxa"/>
          </w:tcPr>
          <w:p w14:paraId="5CFA8E7F" w14:textId="77777777" w:rsidR="00C94608" w:rsidRPr="008A4F5A" w:rsidRDefault="00C94608" w:rsidP="004260F5">
            <w:pPr>
              <w:rPr>
                <w:rFonts w:cstheme="minorHAnsi"/>
                <w:i/>
                <w:iCs/>
              </w:rPr>
            </w:pPr>
          </w:p>
        </w:tc>
      </w:tr>
      <w:tr w:rsidR="00C94608" w:rsidRPr="008A4F5A" w14:paraId="4EC6F0D4" w14:textId="77777777" w:rsidTr="004260F5">
        <w:tc>
          <w:tcPr>
            <w:tcW w:w="1762" w:type="dxa"/>
          </w:tcPr>
          <w:p w14:paraId="1F0CFFE0" w14:textId="77777777" w:rsidR="00C94608" w:rsidRPr="008A4F5A" w:rsidRDefault="00C94608" w:rsidP="004260F5">
            <w:pPr>
              <w:rPr>
                <w:rFonts w:cstheme="minorHAnsi"/>
                <w:i/>
                <w:iCs/>
              </w:rPr>
            </w:pPr>
          </w:p>
        </w:tc>
        <w:tc>
          <w:tcPr>
            <w:tcW w:w="2162" w:type="dxa"/>
          </w:tcPr>
          <w:p w14:paraId="50C0E71A" w14:textId="77777777" w:rsidR="00C94608" w:rsidRPr="008A4F5A" w:rsidRDefault="00C94608" w:rsidP="004260F5">
            <w:pPr>
              <w:rPr>
                <w:rFonts w:cstheme="minorHAnsi"/>
                <w:i/>
                <w:iCs/>
              </w:rPr>
            </w:pPr>
          </w:p>
        </w:tc>
        <w:tc>
          <w:tcPr>
            <w:tcW w:w="1805" w:type="dxa"/>
          </w:tcPr>
          <w:p w14:paraId="136EA92A" w14:textId="77777777" w:rsidR="00C94608" w:rsidRPr="008A4F5A" w:rsidRDefault="00C94608" w:rsidP="004260F5">
            <w:pPr>
              <w:rPr>
                <w:rFonts w:cstheme="minorHAnsi"/>
                <w:i/>
                <w:iCs/>
              </w:rPr>
            </w:pPr>
          </w:p>
        </w:tc>
        <w:tc>
          <w:tcPr>
            <w:tcW w:w="3338" w:type="dxa"/>
          </w:tcPr>
          <w:p w14:paraId="175C6622" w14:textId="77777777" w:rsidR="00C94608" w:rsidRPr="008A4F5A" w:rsidRDefault="00C94608" w:rsidP="004260F5">
            <w:pPr>
              <w:rPr>
                <w:rFonts w:cstheme="minorHAnsi"/>
                <w:i/>
                <w:iCs/>
              </w:rPr>
            </w:pPr>
          </w:p>
        </w:tc>
      </w:tr>
      <w:tr w:rsidR="00C94608" w:rsidRPr="008A4F5A" w14:paraId="08258A8D" w14:textId="77777777" w:rsidTr="004260F5">
        <w:tc>
          <w:tcPr>
            <w:tcW w:w="1762" w:type="dxa"/>
          </w:tcPr>
          <w:p w14:paraId="4111E3FC" w14:textId="77777777" w:rsidR="00C94608" w:rsidRPr="008A4F5A" w:rsidRDefault="00C94608" w:rsidP="004260F5">
            <w:pPr>
              <w:rPr>
                <w:rFonts w:cstheme="minorHAnsi"/>
                <w:i/>
                <w:iCs/>
              </w:rPr>
            </w:pPr>
          </w:p>
        </w:tc>
        <w:tc>
          <w:tcPr>
            <w:tcW w:w="2162" w:type="dxa"/>
          </w:tcPr>
          <w:p w14:paraId="666414C2" w14:textId="77777777" w:rsidR="00C94608" w:rsidRPr="008A4F5A" w:rsidRDefault="00C94608" w:rsidP="004260F5">
            <w:pPr>
              <w:rPr>
                <w:rFonts w:cstheme="minorHAnsi"/>
                <w:i/>
                <w:iCs/>
              </w:rPr>
            </w:pPr>
          </w:p>
        </w:tc>
        <w:tc>
          <w:tcPr>
            <w:tcW w:w="1805" w:type="dxa"/>
          </w:tcPr>
          <w:p w14:paraId="287D4AFE" w14:textId="77777777" w:rsidR="00C94608" w:rsidRPr="008A4F5A" w:rsidRDefault="00C94608" w:rsidP="004260F5">
            <w:pPr>
              <w:rPr>
                <w:rFonts w:cstheme="minorHAnsi"/>
                <w:i/>
                <w:iCs/>
              </w:rPr>
            </w:pPr>
          </w:p>
        </w:tc>
        <w:tc>
          <w:tcPr>
            <w:tcW w:w="3338" w:type="dxa"/>
          </w:tcPr>
          <w:p w14:paraId="69B2B70E" w14:textId="77777777" w:rsidR="00C94608" w:rsidRPr="008A4F5A" w:rsidRDefault="00C94608" w:rsidP="004260F5">
            <w:pPr>
              <w:rPr>
                <w:rFonts w:cstheme="minorHAnsi"/>
                <w:i/>
                <w:iCs/>
              </w:rPr>
            </w:pPr>
          </w:p>
        </w:tc>
      </w:tr>
    </w:tbl>
    <w:p w14:paraId="2340FD5E" w14:textId="77777777" w:rsidR="00C94608" w:rsidRDefault="00C94608" w:rsidP="00C94608">
      <w:pPr>
        <w:spacing w:after="0" w:line="240" w:lineRule="auto"/>
        <w:rPr>
          <w:rFonts w:cstheme="minorHAnsi"/>
          <w:i/>
          <w:iCs/>
        </w:rPr>
      </w:pPr>
    </w:p>
    <w:p w14:paraId="0F44D731" w14:textId="77777777" w:rsidR="00C94608" w:rsidRDefault="00C94608" w:rsidP="00C94608">
      <w:pPr>
        <w:rPr>
          <w:b/>
          <w:bCs/>
        </w:rPr>
      </w:pPr>
    </w:p>
    <w:p w14:paraId="5F0036AF" w14:textId="77777777" w:rsidR="00C94608" w:rsidRDefault="00C94608" w:rsidP="00C94608">
      <w:pPr>
        <w:rPr>
          <w:b/>
          <w:bCs/>
        </w:rPr>
      </w:pPr>
      <w:r>
        <w:rPr>
          <w:b/>
          <w:bCs/>
        </w:rPr>
        <w:t>Požadavky</w:t>
      </w:r>
    </w:p>
    <w:p w14:paraId="263EC725" w14:textId="77777777" w:rsidR="00C94608" w:rsidRPr="006F1F2D" w:rsidRDefault="00C94608" w:rsidP="00C94608">
      <w:pPr>
        <w:rPr>
          <w:b/>
          <w:bCs/>
        </w:rPr>
      </w:pPr>
      <w:r w:rsidRPr="006F1F2D">
        <w:rPr>
          <w:b/>
          <w:bCs/>
        </w:rPr>
        <w:t>Výstavba budovy</w:t>
      </w:r>
      <w:r>
        <w:t xml:space="preserve"> – nejméně 70 % (hmotnostních) stavebního a demoličního odpadu vzniklého na staveništi bude připraveno na opětovné použití, recyklaci a k jinému druhu materiálového využití, a to včetně zásypů, při nichž jsou materiály nahrazeny odpadem.</w:t>
      </w:r>
    </w:p>
    <w:p w14:paraId="516A9BAD" w14:textId="77777777" w:rsidR="00C94608" w:rsidRDefault="00C94608" w:rsidP="00C94608">
      <w:r w:rsidRPr="006F1F2D">
        <w:rPr>
          <w:b/>
          <w:bCs/>
        </w:rPr>
        <w:t>Renovace budovy</w:t>
      </w:r>
      <w:r>
        <w:t xml:space="preserve"> – nejméně 70 % (hmotnostního) pouze stavebního odpadu vzniklého na staveništi bude připraveno na opětovné použití, recyklaci a k jinému druhu materiálového využití. S demoličním odpadem se bude nakládat jako s druhem nebezpečného odpadu a nebude do celkového množství započítáván.</w:t>
      </w:r>
    </w:p>
    <w:p w14:paraId="01E30F66" w14:textId="77777777" w:rsidR="00C94608" w:rsidRDefault="00C94608" w:rsidP="00C94608">
      <w:r>
        <w:t>Součástí předání dokončeného díla bude závěrečná zpráva o nakládání s odpadem, která porovná konečný stav s plánem a zdůvodní odchylky. Přílohou závěrečné zprávy budou doklady, které budou potvrzovat výši konečného hmotnostního procenta a výpočty.</w:t>
      </w:r>
    </w:p>
    <w:p w14:paraId="7ED25D78" w14:textId="77777777" w:rsidR="00C94608" w:rsidRPr="006F1F2D" w:rsidRDefault="00C94608" w:rsidP="00C94608">
      <w:pPr>
        <w:spacing w:after="0" w:line="240" w:lineRule="auto"/>
        <w:rPr>
          <w:rFonts w:cstheme="minorHAnsi"/>
        </w:rPr>
      </w:pPr>
    </w:p>
    <w:p w14:paraId="6758C53F" w14:textId="77777777" w:rsidR="00C94608" w:rsidRPr="006F1F2D" w:rsidRDefault="00C94608" w:rsidP="00C94608">
      <w:pPr>
        <w:pStyle w:val="Odstavecseseznamem"/>
        <w:keepNext/>
        <w:keepLines/>
        <w:widowControl w:val="0"/>
        <w:numPr>
          <w:ilvl w:val="0"/>
          <w:numId w:val="6"/>
        </w:numPr>
        <w:suppressAutoHyphens w:val="0"/>
        <w:autoSpaceDE w:val="0"/>
        <w:spacing w:after="0" w:line="240" w:lineRule="auto"/>
        <w:jc w:val="both"/>
        <w:textAlignment w:val="auto"/>
        <w:rPr>
          <w:rFonts w:ascii="Arial" w:hAnsi="Arial" w:cs="Arial"/>
          <w:b/>
          <w:bCs/>
          <w:szCs w:val="20"/>
        </w:rPr>
      </w:pPr>
      <w:r w:rsidRPr="006F1F2D">
        <w:rPr>
          <w:rFonts w:ascii="Arial" w:hAnsi="Arial" w:cs="Arial"/>
          <w:b/>
          <w:bCs/>
          <w:szCs w:val="20"/>
        </w:rPr>
        <w:lastRenderedPageBreak/>
        <w:t>Cíl prevence a omezení znečištění</w:t>
      </w:r>
    </w:p>
    <w:p w14:paraId="5393EE02" w14:textId="77777777" w:rsidR="00C94608" w:rsidRDefault="00C94608" w:rsidP="00C94608">
      <w:pPr>
        <w:keepNext/>
        <w:keepLines/>
        <w:widowControl w:val="0"/>
        <w:autoSpaceDE w:val="0"/>
        <w:spacing w:after="0"/>
        <w:rPr>
          <w:rFonts w:cs="Arial"/>
          <w:iCs/>
        </w:rPr>
      </w:pPr>
    </w:p>
    <w:p w14:paraId="6D1EA0AF" w14:textId="77777777" w:rsidR="00C94608" w:rsidRPr="006F1F2D" w:rsidRDefault="00C94608" w:rsidP="00C94608">
      <w:pPr>
        <w:keepNext/>
        <w:keepLines/>
        <w:rPr>
          <w:rFonts w:cs="Arial"/>
          <w:szCs w:val="22"/>
        </w:rPr>
      </w:pPr>
      <w:r w:rsidRPr="006F1F2D">
        <w:rPr>
          <w:rFonts w:cs="Arial"/>
          <w:szCs w:val="22"/>
        </w:rPr>
        <w:t>Plnění tohoto cíle je závislé na postupech na straně dodavatele stavby, proto by měla být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reportovací povinnost přenesena na něj. Projekt by neměl vést k významnému zvýšení emisí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znečišťujících látek do ovzduší, vody nebo půdy ve srovnání se situací před zahájením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stavby/rekonstrukce.</w:t>
      </w:r>
    </w:p>
    <w:p w14:paraId="4B07513C" w14:textId="77777777" w:rsidR="00C94608" w:rsidRPr="006F1F2D" w:rsidRDefault="00C94608" w:rsidP="00C94608">
      <w:pPr>
        <w:rPr>
          <w:rFonts w:cs="Arial"/>
          <w:szCs w:val="22"/>
        </w:rPr>
      </w:pPr>
      <w:r w:rsidRPr="006F1F2D">
        <w:rPr>
          <w:rFonts w:cs="Arial"/>
          <w:szCs w:val="22"/>
        </w:rPr>
        <w:t>Dodavatel stavby doloží, že bylo na staveništi provedeno šetření na potenciální kontaminující</w:t>
      </w:r>
      <w:r w:rsidRPr="006F1F2D">
        <w:rPr>
          <w:rFonts w:cs="Arial"/>
          <w:spacing w:val="-52"/>
          <w:szCs w:val="22"/>
        </w:rPr>
        <w:t xml:space="preserve"> </w:t>
      </w:r>
      <w:r w:rsidRPr="006F1F2D">
        <w:rPr>
          <w:rFonts w:cs="Arial"/>
          <w:szCs w:val="22"/>
        </w:rPr>
        <w:t>látky, např. dle normy ISO 18400. V případě zjištění nebezpečných látek jako je např. azbest,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bude zajištěno</w:t>
      </w:r>
      <w:r w:rsidRPr="006F1F2D">
        <w:rPr>
          <w:rFonts w:cs="Arial"/>
          <w:spacing w:val="-2"/>
          <w:szCs w:val="22"/>
        </w:rPr>
        <w:t xml:space="preserve"> </w:t>
      </w:r>
      <w:r w:rsidRPr="006F1F2D">
        <w:rPr>
          <w:rFonts w:cs="Arial"/>
          <w:szCs w:val="22"/>
        </w:rPr>
        <w:t>jeho</w:t>
      </w:r>
      <w:r w:rsidRPr="006F1F2D">
        <w:rPr>
          <w:rFonts w:cs="Arial"/>
          <w:spacing w:val="-2"/>
          <w:szCs w:val="22"/>
        </w:rPr>
        <w:t xml:space="preserve"> </w:t>
      </w:r>
      <w:r w:rsidRPr="006F1F2D">
        <w:rPr>
          <w:rFonts w:cs="Arial"/>
          <w:szCs w:val="22"/>
        </w:rPr>
        <w:t>řádné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odstranění.</w:t>
      </w:r>
    </w:p>
    <w:p w14:paraId="72C447C8" w14:textId="77777777" w:rsidR="00C94608" w:rsidRPr="006F1F2D" w:rsidRDefault="00C94608" w:rsidP="00C94608">
      <w:pPr>
        <w:rPr>
          <w:rFonts w:cs="Arial"/>
          <w:szCs w:val="22"/>
        </w:rPr>
      </w:pPr>
      <w:r w:rsidRPr="006F1F2D">
        <w:rPr>
          <w:rFonts w:cs="Arial"/>
          <w:szCs w:val="22"/>
        </w:rPr>
        <w:t>Dodavatel zároveň popíše, jaká přijal opatření ke snížení hluku, prachu a emisí znečišťujících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látek při stavebních, demoličních (</w:t>
      </w:r>
      <w:proofErr w:type="spellStart"/>
      <w:r w:rsidRPr="006F1F2D">
        <w:rPr>
          <w:rFonts w:cs="Arial"/>
          <w:szCs w:val="22"/>
        </w:rPr>
        <w:t>dekonstrukčních</w:t>
      </w:r>
      <w:proofErr w:type="spellEnd"/>
      <w:r w:rsidRPr="006F1F2D">
        <w:rPr>
          <w:rFonts w:cs="Arial"/>
          <w:szCs w:val="22"/>
        </w:rPr>
        <w:t>) nebo údržbářských pracích. Dle zákona</w:t>
      </w:r>
      <w:r w:rsidRPr="006F1F2D">
        <w:rPr>
          <w:rFonts w:cs="Arial"/>
          <w:spacing w:val="1"/>
          <w:szCs w:val="22"/>
        </w:rPr>
        <w:t xml:space="preserve"> č. </w:t>
      </w:r>
      <w:r w:rsidRPr="006F1F2D">
        <w:rPr>
          <w:rFonts w:cs="Arial"/>
          <w:szCs w:val="22"/>
        </w:rPr>
        <w:t>201/2012 Sb. se za znečišťující látku považuje každá látka, která svou přítomností v ovzduší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má nebo může mít škodlivé účinky na lidské zdraví nebo životní prostředí anebo obtěžuje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 xml:space="preserve">zápachem. Za znečišťování (emisi) se považuje vnášení jedné nebo více znečišťujících látek </w:t>
      </w:r>
      <w:r>
        <w:rPr>
          <w:rFonts w:cs="Arial"/>
          <w:szCs w:val="22"/>
        </w:rPr>
        <w:t>do ovzduší</w:t>
      </w:r>
      <w:r w:rsidRPr="006F1F2D">
        <w:rPr>
          <w:rFonts w:cs="Arial"/>
          <w:szCs w:val="22"/>
        </w:rPr>
        <w:t>.</w:t>
      </w:r>
    </w:p>
    <w:p w14:paraId="6F02AD74" w14:textId="77777777" w:rsidR="00C94608" w:rsidRDefault="00C94608" w:rsidP="00C94608">
      <w:pPr>
        <w:pStyle w:val="Zkladntext"/>
        <w:spacing w:before="3" w:line="276" w:lineRule="auto"/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6F1F2D">
        <w:rPr>
          <w:rFonts w:ascii="Arial" w:hAnsi="Arial" w:cs="Arial"/>
          <w:sz w:val="22"/>
          <w:szCs w:val="22"/>
        </w:rPr>
        <w:t>Seznam</w:t>
      </w:r>
      <w:r w:rsidRPr="006F1F2D">
        <w:rPr>
          <w:rFonts w:ascii="Arial" w:hAnsi="Arial" w:cs="Arial"/>
          <w:spacing w:val="-5"/>
          <w:sz w:val="22"/>
          <w:szCs w:val="22"/>
        </w:rPr>
        <w:t xml:space="preserve"> </w:t>
      </w:r>
      <w:r w:rsidRPr="006F1F2D">
        <w:rPr>
          <w:rFonts w:ascii="Arial" w:hAnsi="Arial" w:cs="Arial"/>
          <w:sz w:val="22"/>
          <w:szCs w:val="22"/>
        </w:rPr>
        <w:t>znečišťujících</w:t>
      </w:r>
      <w:r w:rsidRPr="006F1F2D">
        <w:rPr>
          <w:rFonts w:ascii="Arial" w:hAnsi="Arial" w:cs="Arial"/>
          <w:spacing w:val="-4"/>
          <w:sz w:val="22"/>
          <w:szCs w:val="22"/>
        </w:rPr>
        <w:t xml:space="preserve"> </w:t>
      </w:r>
      <w:r w:rsidRPr="00E11745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látek je specifikován v Nařízení vlády č. 145/2008 Sb. Z pohledu znečištění povrchových a podzemních vod se za nebezpečné látky považují látky dle přílohy č. 1 zákona č. 254/2001 Sb. (vodní zákon).</w:t>
      </w:r>
    </w:p>
    <w:p w14:paraId="54C52743" w14:textId="77777777" w:rsidR="00C94608" w:rsidRPr="00E11745" w:rsidRDefault="00C94608" w:rsidP="00C94608">
      <w:pPr>
        <w:pStyle w:val="Zkladntext"/>
        <w:spacing w:before="3" w:line="276" w:lineRule="auto"/>
        <w:jc w:val="both"/>
        <w:rPr>
          <w:rFonts w:ascii="Arial" w:hAnsi="Arial" w:cs="Arial"/>
          <w:sz w:val="22"/>
          <w:szCs w:val="22"/>
        </w:rPr>
      </w:pPr>
    </w:p>
    <w:p w14:paraId="2A801360" w14:textId="77777777" w:rsidR="00C94608" w:rsidRPr="006F1F2D" w:rsidRDefault="00C94608" w:rsidP="00C94608">
      <w:pPr>
        <w:rPr>
          <w:rFonts w:cs="Arial"/>
          <w:szCs w:val="22"/>
        </w:rPr>
      </w:pPr>
      <w:r w:rsidRPr="006F1F2D">
        <w:rPr>
          <w:rFonts w:cs="Arial"/>
          <w:szCs w:val="22"/>
        </w:rPr>
        <w:t>Při výkonu prací na staveništi je nutné předcházet možné ekologické újmě. V případě vzniku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nebo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zjištění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ekologické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újmy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je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provozovatel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povinen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neprodleně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provést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veškerá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proveditelná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nápravná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opatření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k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okamžité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kontrole,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omezení,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odstranění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nebo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jinému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zvládnutí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znečišťujících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látek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nebo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jiných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škodlivých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faktorů,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jejichž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cílem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je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omezit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ekologickou újmu a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nepříznivé účinky na lidské zdraví nebo předejít dalšímu rozšiřování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ekologické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újmy,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nepříznivým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účinkům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na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lidské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zdraví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nebo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dalšímu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zhoršení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funkcí</w:t>
      </w:r>
      <w:r w:rsidRPr="006F1F2D">
        <w:rPr>
          <w:rFonts w:cs="Arial"/>
          <w:spacing w:val="1"/>
          <w:szCs w:val="22"/>
        </w:rPr>
        <w:t xml:space="preserve"> </w:t>
      </w:r>
      <w:r w:rsidRPr="006F1F2D">
        <w:rPr>
          <w:rFonts w:cs="Arial"/>
          <w:szCs w:val="22"/>
        </w:rPr>
        <w:t>přírodních</w:t>
      </w:r>
      <w:r w:rsidRPr="006F1F2D">
        <w:rPr>
          <w:rFonts w:cs="Arial"/>
          <w:spacing w:val="-2"/>
          <w:szCs w:val="22"/>
        </w:rPr>
        <w:t xml:space="preserve"> </w:t>
      </w:r>
      <w:r w:rsidRPr="006F1F2D">
        <w:rPr>
          <w:rFonts w:cs="Arial"/>
          <w:szCs w:val="22"/>
        </w:rPr>
        <w:t>zdrojů.</w:t>
      </w:r>
    </w:p>
    <w:p w14:paraId="0E742225" w14:textId="77777777" w:rsidR="00C94608" w:rsidRPr="006F1F2D" w:rsidRDefault="00C94608" w:rsidP="00C94608">
      <w:pPr>
        <w:rPr>
          <w:rFonts w:cs="Arial"/>
          <w:szCs w:val="22"/>
        </w:rPr>
      </w:pPr>
      <w:r w:rsidRPr="006F1F2D">
        <w:rPr>
          <w:rFonts w:cs="Arial"/>
          <w:szCs w:val="22"/>
        </w:rPr>
        <w:t>Součástí reportu je seznam evidovaných opatřeních na staveništi. Obsahuje seznam znečišťujících látek a jaká opatření byla zavedena k omezení šíření emisí do okolního prostředí.</w:t>
      </w:r>
    </w:p>
    <w:p w14:paraId="184E97DF" w14:textId="77777777" w:rsidR="00C94608" w:rsidRPr="002D2EC3" w:rsidRDefault="00C94608" w:rsidP="00C94608">
      <w:pPr>
        <w:widowControl w:val="0"/>
        <w:autoSpaceDE w:val="0"/>
        <w:spacing w:after="0"/>
        <w:rPr>
          <w:rFonts w:cs="Arial"/>
          <w:iCs/>
        </w:rPr>
      </w:pPr>
    </w:p>
    <w:p w14:paraId="1A2502DB" w14:textId="77777777" w:rsidR="00C94608" w:rsidRPr="006F1F2D" w:rsidRDefault="00C94608" w:rsidP="00C94608">
      <w:pPr>
        <w:pStyle w:val="Odstavecseseznamem"/>
        <w:widowControl w:val="0"/>
        <w:numPr>
          <w:ilvl w:val="0"/>
          <w:numId w:val="6"/>
        </w:numPr>
        <w:suppressAutoHyphens w:val="0"/>
        <w:autoSpaceDE w:val="0"/>
        <w:spacing w:after="0" w:line="240" w:lineRule="auto"/>
        <w:jc w:val="both"/>
        <w:textAlignment w:val="auto"/>
        <w:rPr>
          <w:rFonts w:ascii="Arial" w:hAnsi="Arial" w:cs="Arial"/>
          <w:b/>
          <w:bCs/>
          <w:szCs w:val="20"/>
        </w:rPr>
      </w:pPr>
      <w:r w:rsidRPr="006F1F2D">
        <w:rPr>
          <w:rFonts w:ascii="Arial" w:hAnsi="Arial" w:cs="Arial"/>
          <w:b/>
          <w:bCs/>
          <w:szCs w:val="20"/>
        </w:rPr>
        <w:t>Cíl ochrana a obnova biologické rozmanitosti a ekosystémů</w:t>
      </w:r>
    </w:p>
    <w:p w14:paraId="18EB51EB" w14:textId="77777777" w:rsidR="00C94608" w:rsidRDefault="00C94608" w:rsidP="00C94608"/>
    <w:p w14:paraId="16B26D5B" w14:textId="77777777" w:rsidR="00C94608" w:rsidRDefault="00C94608" w:rsidP="00C94608">
      <w:r>
        <w:t>U lokalit/provozů umístěných v oblastech citlivých z hlediska biologické rozmanitosti nebo v jejich blízkosti (včetně sítě chráněných oblastí Natura 2000, míst světového dědictví UNESCO</w:t>
      </w:r>
      <w:r>
        <w:rPr>
          <w:spacing w:val="1"/>
        </w:rPr>
        <w:t xml:space="preserve"> </w:t>
      </w:r>
      <w:r>
        <w:t>a klíčových oblastí biologické rozmanitosti, jakož i dalších chráněných oblastí) bude případně</w:t>
      </w:r>
      <w:r>
        <w:rPr>
          <w:spacing w:val="1"/>
        </w:rPr>
        <w:t xml:space="preserve"> </w:t>
      </w:r>
      <w:r>
        <w:t>provedeno</w:t>
      </w:r>
      <w:r>
        <w:rPr>
          <w:spacing w:val="1"/>
        </w:rPr>
        <w:t xml:space="preserve"> </w:t>
      </w:r>
      <w:r>
        <w:t>příslušné</w:t>
      </w:r>
      <w:r>
        <w:rPr>
          <w:spacing w:val="1"/>
        </w:rPr>
        <w:t xml:space="preserve"> </w:t>
      </w:r>
      <w:r>
        <w:t>posouzení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základě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závěrů</w:t>
      </w:r>
      <w:r>
        <w:rPr>
          <w:spacing w:val="1"/>
        </w:rPr>
        <w:t xml:space="preserve"> </w:t>
      </w:r>
      <w:r>
        <w:t>budou</w:t>
      </w:r>
      <w:r>
        <w:rPr>
          <w:spacing w:val="1"/>
        </w:rPr>
        <w:t xml:space="preserve"> </w:t>
      </w:r>
      <w:r>
        <w:t>provedena</w:t>
      </w:r>
      <w:r>
        <w:rPr>
          <w:spacing w:val="1"/>
        </w:rPr>
        <w:t xml:space="preserve"> </w:t>
      </w:r>
      <w:r>
        <w:t>nezbytná</w:t>
      </w:r>
      <w:r>
        <w:rPr>
          <w:spacing w:val="1"/>
        </w:rPr>
        <w:t xml:space="preserve"> </w:t>
      </w:r>
      <w:r>
        <w:t>zmírňující</w:t>
      </w:r>
      <w:r>
        <w:rPr>
          <w:spacing w:val="-1"/>
        </w:rPr>
        <w:t xml:space="preserve"> </w:t>
      </w:r>
      <w:r>
        <w:t>opatření.</w:t>
      </w:r>
    </w:p>
    <w:p w14:paraId="5619EC63" w14:textId="77777777" w:rsidR="00C94608" w:rsidRDefault="00C94608" w:rsidP="00C94608">
      <w:r>
        <w:rPr>
          <w:spacing w:val="-1"/>
        </w:rPr>
        <w:t>Pro</w:t>
      </w:r>
      <w:r>
        <w:rPr>
          <w:spacing w:val="-11"/>
        </w:rPr>
        <w:t xml:space="preserve"> </w:t>
      </w:r>
      <w:r>
        <w:rPr>
          <w:spacing w:val="-1"/>
        </w:rPr>
        <w:t>zhodnocení</w:t>
      </w:r>
      <w:r>
        <w:rPr>
          <w:spacing w:val="-10"/>
        </w:rPr>
        <w:t xml:space="preserve"> </w:t>
      </w:r>
      <w:r>
        <w:rPr>
          <w:spacing w:val="-1"/>
        </w:rPr>
        <w:t>cíle</w:t>
      </w:r>
      <w:r>
        <w:rPr>
          <w:spacing w:val="-9"/>
        </w:rPr>
        <w:t xml:space="preserve"> </w:t>
      </w:r>
      <w:r>
        <w:rPr>
          <w:spacing w:val="-1"/>
        </w:rPr>
        <w:t>ochrana</w:t>
      </w:r>
      <w:r>
        <w:rPr>
          <w:spacing w:val="-10"/>
        </w:rPr>
        <w:t xml:space="preserve"> </w:t>
      </w:r>
      <w:r>
        <w:rPr>
          <w:spacing w:val="-1"/>
        </w:rPr>
        <w:t>a</w:t>
      </w:r>
      <w:r>
        <w:rPr>
          <w:spacing w:val="-10"/>
        </w:rPr>
        <w:t xml:space="preserve"> </w:t>
      </w:r>
      <w:r>
        <w:rPr>
          <w:spacing w:val="-1"/>
        </w:rPr>
        <w:t>obnova</w:t>
      </w:r>
      <w:r>
        <w:rPr>
          <w:spacing w:val="-10"/>
        </w:rPr>
        <w:t xml:space="preserve"> </w:t>
      </w:r>
      <w:r>
        <w:rPr>
          <w:spacing w:val="-1"/>
        </w:rPr>
        <w:t>biologické</w:t>
      </w:r>
      <w:r>
        <w:rPr>
          <w:spacing w:val="-9"/>
        </w:rPr>
        <w:t xml:space="preserve"> </w:t>
      </w:r>
      <w:r>
        <w:rPr>
          <w:spacing w:val="-1"/>
        </w:rPr>
        <w:t>rozmanitosti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ekosystémů</w:t>
      </w:r>
      <w:r>
        <w:rPr>
          <w:spacing w:val="-11"/>
        </w:rPr>
        <w:t xml:space="preserve"> </w:t>
      </w:r>
      <w:r>
        <w:t>dodavatel</w:t>
      </w:r>
      <w:r>
        <w:rPr>
          <w:spacing w:val="-15"/>
        </w:rPr>
        <w:t xml:space="preserve"> </w:t>
      </w:r>
      <w:r>
        <w:t>popíše,</w:t>
      </w:r>
      <w:r>
        <w:rPr>
          <w:spacing w:val="-52"/>
        </w:rPr>
        <w:t xml:space="preserve"> </w:t>
      </w:r>
      <w:r>
        <w:t>jaká ochranná, zmírňující a kompenzační opatření na ochranu životního prostředí byla před</w:t>
      </w:r>
      <w:r>
        <w:rPr>
          <w:spacing w:val="1"/>
        </w:rPr>
        <w:t xml:space="preserve"> </w:t>
      </w:r>
      <w:r>
        <w:t>stavbou</w:t>
      </w:r>
      <w:r>
        <w:rPr>
          <w:spacing w:val="-2"/>
        </w:rPr>
        <w:t xml:space="preserve"> </w:t>
      </w:r>
      <w:r>
        <w:t>a během</w:t>
      </w:r>
      <w:r>
        <w:rPr>
          <w:spacing w:val="-2"/>
        </w:rPr>
        <w:t xml:space="preserve"> </w:t>
      </w:r>
      <w:r>
        <w:t>stavby</w:t>
      </w:r>
      <w:r>
        <w:rPr>
          <w:spacing w:val="4"/>
        </w:rPr>
        <w:t xml:space="preserve"> </w:t>
      </w:r>
      <w:r>
        <w:t>provedena.</w:t>
      </w:r>
    </w:p>
    <w:p w14:paraId="3B8E71E0" w14:textId="77777777" w:rsidR="00C94608" w:rsidRDefault="00C94608" w:rsidP="00C94608">
      <w:r>
        <w:t xml:space="preserve">Příjemce dotace bude postupovat v souladu s platnými přepisy v oblasti ochrany přírody a krajiny (zejména dle zákona č. 114/1992 Sb., o ochraně přírody a krajiny a zákona č. 100/2001 Sb., o posuzování vlivu na životní prostředí) a zajistí, že projekt nebude ve významné míře negativně ovlivňovat předměty ochrany přírody a krajiny. Pokud bylo </w:t>
      </w:r>
      <w:r>
        <w:lastRenderedPageBreak/>
        <w:t>provedeno posouzení vlivu na životní prostředí (EIA), bude tento dokument přiložen k reportovacímu listu.</w:t>
      </w:r>
    </w:p>
    <w:p w14:paraId="62B36508" w14:textId="5D16693F" w:rsidR="00C94608" w:rsidRDefault="00C94608" w:rsidP="00C94608">
      <w:pPr>
        <w:spacing w:line="291" w:lineRule="exact"/>
        <w:rPr>
          <w:iCs/>
        </w:rPr>
      </w:pPr>
      <w:r>
        <w:rPr>
          <w:iCs/>
        </w:rPr>
        <w:t>Součástí reportu je seznam realizovaného ochranného, zmírňujícího a kompenzačního opatření.</w:t>
      </w:r>
    </w:p>
    <w:p w14:paraId="3FD06B75" w14:textId="77777777" w:rsidR="00C94608" w:rsidRDefault="00C94608" w:rsidP="00C94608">
      <w:pPr>
        <w:spacing w:line="291" w:lineRule="exact"/>
        <w:rPr>
          <w:iCs/>
        </w:rPr>
      </w:pPr>
    </w:p>
    <w:p w14:paraId="1737C8C3" w14:textId="77777777" w:rsidR="00C94608" w:rsidRPr="006F1F2D" w:rsidRDefault="00C94608" w:rsidP="00C94608">
      <w:pPr>
        <w:pStyle w:val="Nadpis1"/>
      </w:pPr>
      <w:bookmarkStart w:id="25" w:name="_Toc107393365"/>
      <w:bookmarkStart w:id="26" w:name="_Toc113880718"/>
      <w:bookmarkStart w:id="27" w:name="_Toc113881594"/>
      <w:r w:rsidRPr="006F1F2D">
        <w:t>Shrnutí potřebné dokumentace k DNSH</w:t>
      </w:r>
      <w:bookmarkEnd w:id="25"/>
      <w:bookmarkEnd w:id="26"/>
      <w:bookmarkEnd w:id="27"/>
    </w:p>
    <w:p w14:paraId="521DA70C" w14:textId="77777777" w:rsidR="00C94608" w:rsidRDefault="00C94608" w:rsidP="00C94608">
      <w:pPr>
        <w:spacing w:before="240"/>
      </w:pPr>
      <w:r w:rsidRPr="00CE4980">
        <w:t>Seznam dokumentace uvádí dokumentaci nad rámec určený vyhláškou č. 499/2006 Sb. a</w:t>
      </w:r>
      <w:r>
        <w:t> </w:t>
      </w:r>
      <w:r w:rsidRPr="00CE4980">
        <w:t>podmínek specifických pravidel výzvy.</w:t>
      </w:r>
      <w:r w:rsidRPr="00CE4980">
        <w:rPr>
          <w:spacing w:val="-10"/>
        </w:rPr>
        <w:t xml:space="preserve"> </w:t>
      </w:r>
      <w:r w:rsidRPr="00CE4980">
        <w:t>Termín a periodicita předkládání dokumentace jsou uvedeny v podmínkách specifických pravidel výzvy.</w:t>
      </w:r>
    </w:p>
    <w:p w14:paraId="569E58C4" w14:textId="77777777" w:rsidR="00C94608" w:rsidRPr="00833710" w:rsidRDefault="00C94608" w:rsidP="00C94608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33710">
        <w:rPr>
          <w:rFonts w:ascii="Arial" w:hAnsi="Arial" w:cs="Arial"/>
        </w:rPr>
        <w:t xml:space="preserve">energetický posudek </w:t>
      </w:r>
    </w:p>
    <w:p w14:paraId="13C03624" w14:textId="77777777" w:rsidR="00C94608" w:rsidRPr="00833710" w:rsidRDefault="00C94608" w:rsidP="00C94608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33710">
        <w:rPr>
          <w:rFonts w:ascii="Arial" w:hAnsi="Arial" w:cs="Arial"/>
        </w:rPr>
        <w:t>průkaz energetické náročnosti budovy (u renovací pro stav před a po realizaci opatření)</w:t>
      </w:r>
    </w:p>
    <w:p w14:paraId="4FE9BBE0" w14:textId="77777777" w:rsidR="00C94608" w:rsidRPr="00833710" w:rsidRDefault="00C94608" w:rsidP="00C94608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33710">
        <w:rPr>
          <w:rFonts w:ascii="Arial" w:hAnsi="Arial" w:cs="Arial"/>
        </w:rPr>
        <w:t xml:space="preserve">technické listy produktů nebo certifikát EU </w:t>
      </w:r>
      <w:proofErr w:type="spellStart"/>
      <w:r w:rsidRPr="00833710">
        <w:rPr>
          <w:rFonts w:ascii="Arial" w:hAnsi="Arial" w:cs="Arial"/>
        </w:rPr>
        <w:t>Water</w:t>
      </w:r>
      <w:proofErr w:type="spellEnd"/>
      <w:r w:rsidRPr="00833710">
        <w:rPr>
          <w:rFonts w:ascii="Arial" w:hAnsi="Arial" w:cs="Arial"/>
        </w:rPr>
        <w:t xml:space="preserve"> label s dvěma nejvyššími třídami v</w:t>
      </w:r>
      <w:r>
        <w:rPr>
          <w:rFonts w:ascii="Arial" w:hAnsi="Arial" w:cs="Arial"/>
        </w:rPr>
        <w:t> </w:t>
      </w:r>
      <w:r w:rsidRPr="00833710">
        <w:rPr>
          <w:rFonts w:ascii="Arial" w:hAnsi="Arial" w:cs="Arial"/>
        </w:rPr>
        <w:t>případě pořizování vnitřního sanitárního vybavení</w:t>
      </w:r>
    </w:p>
    <w:p w14:paraId="54D94E13" w14:textId="77777777" w:rsidR="00C94608" w:rsidRPr="00833710" w:rsidRDefault="00C94608" w:rsidP="00C94608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33710">
        <w:rPr>
          <w:rFonts w:ascii="Arial" w:hAnsi="Arial" w:cs="Arial"/>
        </w:rPr>
        <w:t xml:space="preserve">posouzení vlivu na životní prostředí (EIA), pokud je dle zákona vyžadováno </w:t>
      </w:r>
    </w:p>
    <w:p w14:paraId="2F95169B" w14:textId="77777777" w:rsidR="00C94608" w:rsidRPr="00833710" w:rsidRDefault="00C94608" w:rsidP="00C94608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33710">
        <w:rPr>
          <w:rFonts w:ascii="Arial" w:hAnsi="Arial" w:cs="Arial"/>
        </w:rPr>
        <w:t>zpráva o průzkumu dle Metodického pokynu MŽP (v případě rekultivace kontaminovaného území)</w:t>
      </w:r>
    </w:p>
    <w:p w14:paraId="0590FAC6" w14:textId="77777777" w:rsidR="00C94608" w:rsidRPr="00833710" w:rsidRDefault="00C94608" w:rsidP="00C94608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33710">
        <w:rPr>
          <w:rFonts w:ascii="Arial" w:hAnsi="Arial" w:cs="Arial"/>
        </w:rPr>
        <w:t>vyplněný reportovací list, který prokazuje implementaci zásady DNSH na projektu dle této metodiky</w:t>
      </w:r>
    </w:p>
    <w:p w14:paraId="25F135D4" w14:textId="77777777" w:rsidR="00C94608" w:rsidRPr="00833710" w:rsidRDefault="00C94608" w:rsidP="00C94608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33710">
        <w:rPr>
          <w:rFonts w:ascii="Arial" w:hAnsi="Arial" w:cs="Arial"/>
        </w:rPr>
        <w:t>zpráva dodavatele o splnění požadavku recyklace minimálně 70 % stavebních a</w:t>
      </w:r>
      <w:r>
        <w:rPr>
          <w:rFonts w:ascii="Arial" w:hAnsi="Arial" w:cs="Arial"/>
        </w:rPr>
        <w:t> </w:t>
      </w:r>
      <w:r w:rsidRPr="00833710">
        <w:rPr>
          <w:rFonts w:ascii="Arial" w:hAnsi="Arial" w:cs="Arial"/>
        </w:rPr>
        <w:t>demoličních odpadů vycházející z požadavku na respektování principů DNSH včetně výpočtů a dokladů.</w:t>
      </w:r>
    </w:p>
    <w:p w14:paraId="31AACCD3" w14:textId="77777777" w:rsidR="00C94608" w:rsidRDefault="00C94608" w:rsidP="00C94608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33710">
        <w:rPr>
          <w:rFonts w:ascii="Arial" w:hAnsi="Arial" w:cs="Arial"/>
        </w:rPr>
        <w:t>doklady o převzetí odpadu k ekologické likvidaci nebo potvrzení od certifikované firmy, která má oprávnění nakládat s odpadem dle norem s uvedením hmotnosti převzatého odpad</w:t>
      </w:r>
    </w:p>
    <w:p w14:paraId="00808715" w14:textId="77777777" w:rsidR="00C94608" w:rsidRPr="00E11745" w:rsidRDefault="00C94608" w:rsidP="00C94608">
      <w:pPr>
        <w:pStyle w:val="Odstavecseseznamem"/>
        <w:spacing w:line="276" w:lineRule="auto"/>
        <w:jc w:val="both"/>
        <w:rPr>
          <w:rFonts w:ascii="Arial" w:hAnsi="Arial" w:cs="Arial"/>
        </w:rPr>
      </w:pPr>
    </w:p>
    <w:p w14:paraId="5DCAEE98" w14:textId="77777777" w:rsidR="00C94608" w:rsidRPr="00656F64" w:rsidRDefault="00C94608" w:rsidP="00C94608">
      <w:pPr>
        <w:pStyle w:val="Nadpis1"/>
      </w:pPr>
      <w:bookmarkStart w:id="28" w:name="_Toc113880719"/>
      <w:bookmarkStart w:id="29" w:name="_Toc113881595"/>
      <w:r w:rsidRPr="00656F64">
        <w:t>Přílohy</w:t>
      </w:r>
      <w:bookmarkEnd w:id="28"/>
      <w:bookmarkEnd w:id="29"/>
    </w:p>
    <w:p w14:paraId="4D301F60" w14:textId="77777777" w:rsidR="00C94608" w:rsidRDefault="00C94608" w:rsidP="00C94608">
      <w:pPr>
        <w:rPr>
          <w:b/>
          <w:bCs/>
        </w:rPr>
      </w:pPr>
    </w:p>
    <w:p w14:paraId="4A30893B" w14:textId="77777777" w:rsidR="00C94608" w:rsidRDefault="00C94608" w:rsidP="00C94608">
      <w:pPr>
        <w:pStyle w:val="Odstavecseseznamem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Čestné prohlášení k DNSH </w:t>
      </w:r>
      <w:r w:rsidRPr="006C6475">
        <w:rPr>
          <w:rFonts w:ascii="Arial" w:hAnsi="Arial" w:cs="Arial"/>
        </w:rPr>
        <w:t>pro komponentu 6.1 a 6.2</w:t>
      </w:r>
    </w:p>
    <w:p w14:paraId="430D70BA" w14:textId="77777777" w:rsidR="00C94608" w:rsidRPr="00194078" w:rsidRDefault="00C94608" w:rsidP="00C94608">
      <w:pPr>
        <w:pStyle w:val="Odstavecseseznamem"/>
        <w:numPr>
          <w:ilvl w:val="0"/>
          <w:numId w:val="14"/>
        </w:numPr>
        <w:rPr>
          <w:b/>
          <w:bCs/>
        </w:rPr>
      </w:pPr>
      <w:r w:rsidRPr="00194078">
        <w:rPr>
          <w:rFonts w:ascii="Arial" w:hAnsi="Arial" w:cs="Arial"/>
        </w:rPr>
        <w:t>Prohlášení o dodržování zásady „významně nepoškozovat“ (reportovací list)</w:t>
      </w:r>
    </w:p>
    <w:p w14:paraId="33333943" w14:textId="77777777" w:rsidR="00C94608" w:rsidRDefault="00C94608" w:rsidP="00C94608">
      <w:pPr>
        <w:spacing w:after="255"/>
        <w:ind w:right="3725"/>
        <w:rPr>
          <w:rFonts w:eastAsia="Cambria" w:cs="Arial"/>
          <w:color w:val="A6A6A6" w:themeColor="background1" w:themeShade="A6"/>
          <w:sz w:val="36"/>
          <w:szCs w:val="36"/>
        </w:rPr>
      </w:pPr>
    </w:p>
    <w:p w14:paraId="1F67B1D8" w14:textId="3F42F5E3" w:rsidR="00C94608" w:rsidRDefault="00C94608" w:rsidP="00C94608">
      <w:pPr>
        <w:spacing w:after="255"/>
        <w:ind w:right="3725"/>
        <w:rPr>
          <w:rFonts w:eastAsia="Cambria" w:cs="Arial"/>
          <w:color w:val="A6A6A6" w:themeColor="background1" w:themeShade="A6"/>
          <w:sz w:val="36"/>
          <w:szCs w:val="36"/>
        </w:rPr>
      </w:pPr>
    </w:p>
    <w:p w14:paraId="06DFD8DD" w14:textId="77777777" w:rsidR="00C94608" w:rsidRDefault="00C94608" w:rsidP="00C94608">
      <w:pPr>
        <w:spacing w:after="255"/>
        <w:ind w:right="3725"/>
        <w:rPr>
          <w:rFonts w:eastAsia="Cambria" w:cs="Arial"/>
          <w:color w:val="A6A6A6" w:themeColor="background1" w:themeShade="A6"/>
          <w:sz w:val="36"/>
          <w:szCs w:val="36"/>
        </w:rPr>
      </w:pPr>
    </w:p>
    <w:p w14:paraId="2236B6A3" w14:textId="77777777" w:rsidR="0057283E" w:rsidRDefault="0057283E"/>
    <w:sectPr w:rsidR="0057283E" w:rsidSect="00C94608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F077B" w14:textId="77777777" w:rsidR="00C94608" w:rsidRDefault="00C94608" w:rsidP="00C94608">
      <w:pPr>
        <w:spacing w:after="0" w:line="240" w:lineRule="auto"/>
      </w:pPr>
      <w:r>
        <w:separator/>
      </w:r>
    </w:p>
  </w:endnote>
  <w:endnote w:type="continuationSeparator" w:id="0">
    <w:p w14:paraId="43BC5EEE" w14:textId="77777777" w:rsidR="00C94608" w:rsidRDefault="00C94608" w:rsidP="00C94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0"/>
      <w:gridCol w:w="3119"/>
      <w:gridCol w:w="3118"/>
    </w:tblGrid>
    <w:tr w:rsidR="00C94608" w14:paraId="6E4ADA89" w14:textId="77777777" w:rsidTr="004260F5">
      <w:tc>
        <w:tcPr>
          <w:tcW w:w="2830" w:type="dxa"/>
          <w:hideMark/>
        </w:tcPr>
        <w:p w14:paraId="61719992" w14:textId="77777777" w:rsidR="00C94608" w:rsidRPr="00742FEA" w:rsidRDefault="00C94608" w:rsidP="00C94608">
          <w:pPr>
            <w:pStyle w:val="Zpat"/>
            <w:jc w:val="left"/>
            <w:rPr>
              <w:rFonts w:cs="Arial"/>
              <w:sz w:val="18"/>
              <w:szCs w:val="18"/>
            </w:rPr>
          </w:pPr>
          <w:r w:rsidRPr="00742FEA">
            <w:rPr>
              <w:rFonts w:cs="Arial"/>
              <w:sz w:val="18"/>
              <w:szCs w:val="18"/>
            </w:rPr>
            <w:t>Verze 1.0</w:t>
          </w:r>
        </w:p>
      </w:tc>
      <w:tc>
        <w:tcPr>
          <w:tcW w:w="3119" w:type="dxa"/>
          <w:hideMark/>
        </w:tcPr>
        <w:p w14:paraId="5E1D54AC" w14:textId="77777777" w:rsidR="00C94608" w:rsidRPr="00742FEA" w:rsidRDefault="00C94608" w:rsidP="00C94608">
          <w:pPr>
            <w:pStyle w:val="Zpat"/>
            <w:jc w:val="left"/>
            <w:rPr>
              <w:rFonts w:cs="Arial"/>
              <w:sz w:val="18"/>
              <w:szCs w:val="18"/>
            </w:rPr>
          </w:pPr>
          <w:r w:rsidRPr="00742FEA">
            <w:rPr>
              <w:rFonts w:cs="Arial"/>
              <w:sz w:val="18"/>
              <w:szCs w:val="18"/>
            </w:rPr>
            <w:t>Platnost od 21. 9. 2022</w:t>
          </w:r>
        </w:p>
      </w:tc>
      <w:tc>
        <w:tcPr>
          <w:tcW w:w="3118" w:type="dxa"/>
          <w:hideMark/>
        </w:tcPr>
        <w:p w14:paraId="26463423" w14:textId="77777777" w:rsidR="00C94608" w:rsidRDefault="00C94608" w:rsidP="00C94608">
          <w:pPr>
            <w:pStyle w:val="Zpat"/>
            <w:jc w:val="right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Stránka </w:t>
          </w:r>
          <w:r>
            <w:rPr>
              <w:rFonts w:cs="Arial"/>
              <w:sz w:val="18"/>
              <w:szCs w:val="18"/>
            </w:rPr>
            <w:fldChar w:fldCharType="begin"/>
          </w:r>
          <w:r>
            <w:rPr>
              <w:rFonts w:cs="Arial"/>
              <w:sz w:val="18"/>
              <w:szCs w:val="18"/>
            </w:rPr>
            <w:instrText>PAGE</w:instrText>
          </w:r>
          <w:r>
            <w:rPr>
              <w:rFonts w:cs="Arial"/>
              <w:sz w:val="18"/>
              <w:szCs w:val="18"/>
            </w:rPr>
            <w:fldChar w:fldCharType="separate"/>
          </w:r>
          <w:r>
            <w:rPr>
              <w:rFonts w:cs="Arial"/>
              <w:sz w:val="18"/>
              <w:szCs w:val="18"/>
            </w:rPr>
            <w:t>2</w:t>
          </w:r>
          <w:r>
            <w:rPr>
              <w:rFonts w:cs="Arial"/>
              <w:sz w:val="18"/>
              <w:szCs w:val="18"/>
            </w:rPr>
            <w:fldChar w:fldCharType="end"/>
          </w:r>
          <w:r>
            <w:rPr>
              <w:rFonts w:cs="Arial"/>
              <w:sz w:val="18"/>
              <w:szCs w:val="18"/>
            </w:rPr>
            <w:t xml:space="preserve"> z </w:t>
          </w:r>
          <w:r>
            <w:rPr>
              <w:rFonts w:cs="Arial"/>
              <w:sz w:val="18"/>
              <w:szCs w:val="18"/>
            </w:rPr>
            <w:fldChar w:fldCharType="begin"/>
          </w:r>
          <w:r>
            <w:rPr>
              <w:rFonts w:cs="Arial"/>
              <w:sz w:val="18"/>
              <w:szCs w:val="18"/>
            </w:rPr>
            <w:instrText>NUMPAGES</w:instrText>
          </w:r>
          <w:r>
            <w:rPr>
              <w:rFonts w:cs="Arial"/>
              <w:sz w:val="18"/>
              <w:szCs w:val="18"/>
            </w:rPr>
            <w:fldChar w:fldCharType="separate"/>
          </w:r>
          <w:r>
            <w:rPr>
              <w:rFonts w:cs="Arial"/>
              <w:sz w:val="18"/>
              <w:szCs w:val="18"/>
            </w:rPr>
            <w:t>20</w:t>
          </w:r>
          <w:r>
            <w:rPr>
              <w:rFonts w:cs="Arial"/>
              <w:sz w:val="18"/>
              <w:szCs w:val="18"/>
            </w:rPr>
            <w:fldChar w:fldCharType="end"/>
          </w:r>
        </w:p>
      </w:tc>
    </w:tr>
  </w:tbl>
  <w:p w14:paraId="6B11F4B7" w14:textId="77777777" w:rsidR="00C94608" w:rsidRPr="00C94608" w:rsidRDefault="00C94608" w:rsidP="00C94608">
    <w:pPr>
      <w:pStyle w:val="Zpat"/>
      <w:rPr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EB804" w14:textId="77777777" w:rsidR="00C94608" w:rsidRDefault="00C94608" w:rsidP="00C94608">
      <w:pPr>
        <w:spacing w:after="0" w:line="240" w:lineRule="auto"/>
      </w:pPr>
      <w:r>
        <w:separator/>
      </w:r>
    </w:p>
  </w:footnote>
  <w:footnote w:type="continuationSeparator" w:id="0">
    <w:p w14:paraId="7DEA22A4" w14:textId="77777777" w:rsidR="00C94608" w:rsidRDefault="00C94608" w:rsidP="00C94608">
      <w:pPr>
        <w:spacing w:after="0" w:line="240" w:lineRule="auto"/>
      </w:pPr>
      <w:r>
        <w:continuationSeparator/>
      </w:r>
    </w:p>
  </w:footnote>
  <w:footnote w:id="1">
    <w:p w14:paraId="75AA76AB" w14:textId="77777777" w:rsidR="00C94608" w:rsidRPr="002217CA" w:rsidRDefault="00C94608" w:rsidP="00C94608">
      <w:pPr>
        <w:pStyle w:val="Textpoznpodarou"/>
        <w:rPr>
          <w:rFonts w:ascii="Arial" w:hAnsi="Arial" w:cs="Arial"/>
        </w:rPr>
      </w:pPr>
      <w:r w:rsidRPr="002217CA">
        <w:rPr>
          <w:rStyle w:val="Znakapoznpodarou"/>
          <w:rFonts w:cs="Arial"/>
        </w:rPr>
        <w:footnoteRef/>
      </w:r>
      <w:r w:rsidRPr="002217CA">
        <w:rPr>
          <w:rFonts w:ascii="Arial" w:hAnsi="Arial" w:cs="Arial"/>
        </w:rPr>
        <w:t xml:space="preserve"> </w:t>
      </w:r>
      <w:r w:rsidRPr="002217CA">
        <w:rPr>
          <w:rFonts w:ascii="Arial" w:hAnsi="Arial" w:cs="Arial"/>
          <w:lang w:val="cs-CZ"/>
        </w:rPr>
        <w:t>Nařízení evropského parlamentu a rady (EU) 2021/241 ze dne 12. února 2021, kterým se zřizuje Nástroj pro oživení a odolnosti</w:t>
      </w:r>
      <w:r w:rsidRPr="002217CA">
        <w:rPr>
          <w:rFonts w:ascii="Arial" w:hAnsi="Arial" w:cs="Arial"/>
        </w:rPr>
        <w:t xml:space="preserve"> </w:t>
      </w:r>
      <w:hyperlink r:id="rId1" w:history="1">
        <w:r w:rsidRPr="002217CA">
          <w:rPr>
            <w:rStyle w:val="Hypertextovodkaz"/>
            <w:rFonts w:ascii="Arial" w:hAnsi="Arial" w:cs="Arial"/>
          </w:rPr>
          <w:t>https://eur-lex.europa.eu/legal-content/CS/TXT/?uri=CELEX:32021R0241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19EDC" w14:textId="77777777" w:rsidR="00C94608" w:rsidRDefault="00C94608" w:rsidP="00C94608">
    <w:r>
      <w:rPr>
        <w:noProof/>
      </w:rPr>
      <w:drawing>
        <wp:inline distT="0" distB="0" distL="0" distR="0" wp14:anchorId="2D68039D" wp14:editId="0A5F5F87">
          <wp:extent cx="2453616" cy="733000"/>
          <wp:effectExtent l="0" t="0" r="444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7E07F16" wp14:editId="4A781594">
          <wp:extent cx="1456704" cy="653714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BE0BD82" wp14:editId="77D30FE5">
          <wp:extent cx="1610556" cy="75523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948D50C" w14:textId="77777777" w:rsidR="00C94608" w:rsidRPr="00C94608" w:rsidRDefault="00C94608" w:rsidP="00C9460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25D5F"/>
    <w:multiLevelType w:val="hybridMultilevel"/>
    <w:tmpl w:val="9F7CF5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C38A5"/>
    <w:multiLevelType w:val="hybridMultilevel"/>
    <w:tmpl w:val="853E1D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B2B89"/>
    <w:multiLevelType w:val="hybridMultilevel"/>
    <w:tmpl w:val="DFF203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B1F4F"/>
    <w:multiLevelType w:val="multilevel"/>
    <w:tmpl w:val="4458690C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A8C1B71"/>
    <w:multiLevelType w:val="hybridMultilevel"/>
    <w:tmpl w:val="E1EA55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F10F0"/>
    <w:multiLevelType w:val="hybridMultilevel"/>
    <w:tmpl w:val="E124A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060575"/>
    <w:multiLevelType w:val="hybridMultilevel"/>
    <w:tmpl w:val="2F622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63C0B"/>
    <w:multiLevelType w:val="hybridMultilevel"/>
    <w:tmpl w:val="52141F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661A5D"/>
    <w:multiLevelType w:val="hybridMultilevel"/>
    <w:tmpl w:val="39F253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A7084"/>
    <w:multiLevelType w:val="hybridMultilevel"/>
    <w:tmpl w:val="9B9421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C83E1C"/>
    <w:multiLevelType w:val="hybridMultilevel"/>
    <w:tmpl w:val="3E98CBA0"/>
    <w:lvl w:ilvl="0" w:tplc="3D16034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827907"/>
    <w:multiLevelType w:val="hybridMultilevel"/>
    <w:tmpl w:val="BD225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04AF3"/>
    <w:multiLevelType w:val="hybridMultilevel"/>
    <w:tmpl w:val="A8368874"/>
    <w:lvl w:ilvl="0" w:tplc="36F22C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F9566E"/>
    <w:multiLevelType w:val="hybridMultilevel"/>
    <w:tmpl w:val="02F60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3"/>
  </w:num>
  <w:num w:numId="4">
    <w:abstractNumId w:val="0"/>
  </w:num>
  <w:num w:numId="5">
    <w:abstractNumId w:val="9"/>
  </w:num>
  <w:num w:numId="6">
    <w:abstractNumId w:val="10"/>
  </w:num>
  <w:num w:numId="7">
    <w:abstractNumId w:val="8"/>
  </w:num>
  <w:num w:numId="8">
    <w:abstractNumId w:val="7"/>
  </w:num>
  <w:num w:numId="9">
    <w:abstractNumId w:val="2"/>
  </w:num>
  <w:num w:numId="10">
    <w:abstractNumId w:val="1"/>
  </w:num>
  <w:num w:numId="11">
    <w:abstractNumId w:val="6"/>
  </w:num>
  <w:num w:numId="12">
    <w:abstractNumId w:val="4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608"/>
    <w:rsid w:val="00253B5C"/>
    <w:rsid w:val="00324714"/>
    <w:rsid w:val="0057283E"/>
    <w:rsid w:val="00C9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5733E"/>
  <w15:chartTrackingRefBased/>
  <w15:docId w15:val="{F83B2875-B58F-4556-A207-2FF2AD8A6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Text grey"/>
    <w:qFormat/>
    <w:rsid w:val="00C94608"/>
    <w:pPr>
      <w:spacing w:after="120" w:line="276" w:lineRule="auto"/>
      <w:jc w:val="both"/>
    </w:pPr>
    <w:rPr>
      <w:rFonts w:ascii="Arial" w:eastAsia="Times New Roman" w:hAnsi="Arial" w:cs="Times New Roman"/>
      <w:color w:val="00000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94608"/>
    <w:pPr>
      <w:keepNext/>
      <w:keepLines/>
      <w:numPr>
        <w:numId w:val="3"/>
      </w:numPr>
      <w:spacing w:before="240" w:after="0"/>
      <w:outlineLvl w:val="0"/>
    </w:pPr>
    <w:rPr>
      <w:rFonts w:eastAsiaTheme="majorEastAsia" w:cstheme="majorBidi"/>
      <w:b/>
      <w:color w:val="auto"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4608"/>
    <w:pPr>
      <w:keepNext/>
      <w:keepLines/>
      <w:numPr>
        <w:ilvl w:val="1"/>
        <w:numId w:val="3"/>
      </w:numPr>
      <w:spacing w:before="40" w:after="0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94608"/>
    <w:pPr>
      <w:keepNext/>
      <w:keepLines/>
      <w:numPr>
        <w:ilvl w:val="2"/>
        <w:numId w:val="3"/>
      </w:numPr>
      <w:spacing w:before="120"/>
      <w:outlineLvl w:val="2"/>
    </w:pPr>
    <w:rPr>
      <w:rFonts w:eastAsiaTheme="majorEastAsia" w:cstheme="majorBidi"/>
      <w:color w:val="auto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94608"/>
    <w:pPr>
      <w:keepNext/>
      <w:keepLines/>
      <w:numPr>
        <w:ilvl w:val="3"/>
        <w:numId w:val="3"/>
      </w:numPr>
      <w:spacing w:before="160"/>
      <w:outlineLvl w:val="3"/>
    </w:pPr>
    <w:rPr>
      <w:rFonts w:eastAsiaTheme="majorEastAsia" w:cstheme="majorBidi"/>
      <w:iCs/>
      <w:color w:val="auto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94608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94608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94608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94608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94608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C94608"/>
    <w:pPr>
      <w:widowControl w:val="0"/>
      <w:autoSpaceDE w:val="0"/>
      <w:autoSpaceDN w:val="0"/>
      <w:adjustRightInd w:val="0"/>
      <w:spacing w:after="0" w:line="288" w:lineRule="auto"/>
      <w:jc w:val="left"/>
    </w:pPr>
    <w:rPr>
      <w:rFonts w:ascii="MinionPro-Regular" w:eastAsia="MS Mincho" w:hAnsi="MinionPro-Regular" w:cs="MinionPro-Regular"/>
      <w:sz w:val="24"/>
      <w:lang w:eastAsia="ja-JP"/>
    </w:rPr>
  </w:style>
  <w:style w:type="paragraph" w:styleId="Nzev">
    <w:name w:val="Title"/>
    <w:basedOn w:val="Normln"/>
    <w:next w:val="Normln"/>
    <w:link w:val="NzevChar"/>
    <w:uiPriority w:val="10"/>
    <w:qFormat/>
    <w:rsid w:val="00C94608"/>
    <w:pPr>
      <w:spacing w:after="0" w:line="240" w:lineRule="auto"/>
      <w:ind w:left="17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94608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94608"/>
    <w:rPr>
      <w:rFonts w:ascii="Arial" w:eastAsiaTheme="majorEastAsia" w:hAnsi="Arial" w:cstheme="majorBidi"/>
      <w:b/>
      <w:sz w:val="24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94608"/>
    <w:rPr>
      <w:rFonts w:ascii="Arial" w:eastAsiaTheme="majorEastAsia" w:hAnsi="Arial" w:cstheme="majorBidi"/>
      <w:b/>
      <w:color w:val="000000" w:themeColor="text1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C94608"/>
    <w:rPr>
      <w:rFonts w:ascii="Arial" w:eastAsiaTheme="majorEastAsia" w:hAnsi="Arial" w:cstheme="majorBidi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C94608"/>
    <w:rPr>
      <w:rFonts w:ascii="Arial" w:eastAsiaTheme="majorEastAsia" w:hAnsi="Arial" w:cstheme="majorBidi"/>
      <w:iCs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94608"/>
    <w:rPr>
      <w:rFonts w:asciiTheme="majorHAnsi" w:eastAsiaTheme="majorEastAsia" w:hAnsiTheme="majorHAnsi" w:cstheme="majorBidi"/>
      <w:color w:val="2F5496" w:themeColor="accent1" w:themeShade="B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94608"/>
    <w:rPr>
      <w:rFonts w:asciiTheme="majorHAnsi" w:eastAsiaTheme="majorEastAsia" w:hAnsiTheme="majorHAnsi" w:cstheme="majorBidi"/>
      <w:color w:val="1F3763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94608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94608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9460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94608"/>
    <w:pPr>
      <w:suppressAutoHyphens/>
      <w:autoSpaceDN w:val="0"/>
      <w:spacing w:after="160" w:line="251" w:lineRule="auto"/>
      <w:ind w:left="720"/>
      <w:jc w:val="left"/>
      <w:textAlignment w:val="baseline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C94608"/>
    <w:pPr>
      <w:widowControl w:val="0"/>
      <w:suppressAutoHyphens/>
      <w:autoSpaceDN w:val="0"/>
      <w:spacing w:after="0" w:line="240" w:lineRule="auto"/>
      <w:jc w:val="left"/>
      <w:textAlignment w:val="baseline"/>
    </w:pPr>
    <w:rPr>
      <w:rFonts w:ascii="Cambria" w:eastAsia="MS Mincho" w:hAnsi="Cambria" w:cs="Tahoma"/>
      <w:color w:val="auto"/>
      <w:sz w:val="20"/>
      <w:szCs w:val="20"/>
      <w:lang w:val="en-US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94608"/>
    <w:rPr>
      <w:rFonts w:ascii="Cambria" w:eastAsia="MS Mincho" w:hAnsi="Cambria" w:cs="Tahoma"/>
      <w:sz w:val="20"/>
      <w:szCs w:val="20"/>
      <w:lang w:val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C94608"/>
    <w:rPr>
      <w:rFonts w:cs="Times New Roman"/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C94608"/>
    <w:rPr>
      <w:color w:val="0563C1" w:themeColor="hyperlink"/>
      <w:u w:val="single"/>
    </w:rPr>
  </w:style>
  <w:style w:type="character" w:styleId="PromnnHTML">
    <w:name w:val="HTML Variable"/>
    <w:basedOn w:val="Standardnpsmoodstavce"/>
    <w:uiPriority w:val="99"/>
    <w:semiHidden/>
    <w:unhideWhenUsed/>
    <w:rsid w:val="00C94608"/>
    <w:rPr>
      <w:i/>
      <w:iCs/>
    </w:rPr>
  </w:style>
  <w:style w:type="character" w:customStyle="1" w:styleId="a10">
    <w:name w:val="a10"/>
    <w:uiPriority w:val="99"/>
    <w:rsid w:val="00C94608"/>
  </w:style>
  <w:style w:type="character" w:customStyle="1" w:styleId="OdstavecseseznamemChar">
    <w:name w:val="Odstavec se seznamem Char"/>
    <w:link w:val="Odstavecseseznamem"/>
    <w:uiPriority w:val="34"/>
    <w:qFormat/>
    <w:rsid w:val="00C94608"/>
    <w:rPr>
      <w:rFonts w:ascii="Calibri" w:eastAsia="Times New Roman" w:hAnsi="Calibri" w:cs="Times New Roman"/>
    </w:rPr>
  </w:style>
  <w:style w:type="table" w:styleId="Mkatabulky">
    <w:name w:val="Table Grid"/>
    <w:basedOn w:val="Normlntabulka"/>
    <w:uiPriority w:val="39"/>
    <w:qFormat/>
    <w:rsid w:val="00C94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1"/>
    <w:qFormat/>
    <w:rsid w:val="00C94608"/>
    <w:pPr>
      <w:widowControl w:val="0"/>
      <w:autoSpaceDE w:val="0"/>
      <w:autoSpaceDN w:val="0"/>
      <w:spacing w:after="0" w:line="240" w:lineRule="auto"/>
      <w:jc w:val="left"/>
    </w:pPr>
    <w:rPr>
      <w:rFonts w:ascii="Calibri" w:eastAsia="Calibri" w:hAnsi="Calibri" w:cs="Calibri"/>
      <w:color w:val="auto"/>
      <w:sz w:val="24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C94608"/>
    <w:rPr>
      <w:rFonts w:ascii="Calibri" w:eastAsia="Calibri" w:hAnsi="Calibri" w:cs="Calibri"/>
      <w:sz w:val="24"/>
      <w:szCs w:val="24"/>
    </w:rPr>
  </w:style>
  <w:style w:type="paragraph" w:customStyle="1" w:styleId="Default">
    <w:name w:val="Default"/>
    <w:rsid w:val="00C946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C94608"/>
    <w:pPr>
      <w:numPr>
        <w:numId w:val="0"/>
      </w:numPr>
      <w:spacing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</w:rPr>
  </w:style>
  <w:style w:type="paragraph" w:styleId="Obsah1">
    <w:name w:val="toc 1"/>
    <w:basedOn w:val="Normln"/>
    <w:next w:val="Normln"/>
    <w:autoRedefine/>
    <w:uiPriority w:val="39"/>
    <w:unhideWhenUsed/>
    <w:rsid w:val="00C94608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C94608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C946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4608"/>
    <w:rPr>
      <w:rFonts w:ascii="Arial" w:eastAsia="Times New Roman" w:hAnsi="Arial" w:cs="Times New Roman"/>
      <w:color w:val="00000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qFormat/>
    <w:rsid w:val="00C946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4608"/>
    <w:rPr>
      <w:rFonts w:ascii="Arial" w:eastAsia="Times New Roman" w:hAnsi="Arial" w:cs="Times New Roman"/>
      <w:color w:val="00000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TXT/?uri=CELEX:32021R0241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1EF32B5FB6A04BADAC0E4E95C8C92C" ma:contentTypeVersion="8" ma:contentTypeDescription="Vytvoří nový dokument" ma:contentTypeScope="" ma:versionID="50669cf6912836a2024c97d66cc156a8">
  <xsd:schema xmlns:xsd="http://www.w3.org/2001/XMLSchema" xmlns:xs="http://www.w3.org/2001/XMLSchema" xmlns:p="http://schemas.microsoft.com/office/2006/metadata/properties" xmlns:ns2="418cac96-fec9-40a4-8bc5-7f52a5c525b0" xmlns:ns3="ceebd3b4-5a2c-486e-8a92-9bd637ffb312" targetNamespace="http://schemas.microsoft.com/office/2006/metadata/properties" ma:root="true" ma:fieldsID="792f03188e84a98f97116e93b5f1fe90" ns2:_="" ns3:_="">
    <xsd:import namespace="418cac96-fec9-40a4-8bc5-7f52a5c525b0"/>
    <xsd:import namespace="ceebd3b4-5a2c-486e-8a92-9bd637ffb3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cac96-fec9-40a4-8bc5-7f52a5c52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bd3b4-5a2c-486e-8a92-9bd637ffb31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96a4ebe-47b3-473d-b803-0a4cb0b025d9}" ma:internalName="TaxCatchAll" ma:showField="CatchAllData" ma:web="ceebd3b4-5a2c-486e-8a92-9bd637ffb3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ebd3b4-5a2c-486e-8a92-9bd637ffb312" xsi:nil="true"/>
    <lcf76f155ced4ddcb4097134ff3c332f xmlns="418cac96-fec9-40a4-8bc5-7f52a5c525b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BE0A27-E3A3-44A7-8002-E3F8A29F35F3}"/>
</file>

<file path=customXml/itemProps2.xml><?xml version="1.0" encoding="utf-8"?>
<ds:datastoreItem xmlns:ds="http://schemas.openxmlformats.org/officeDocument/2006/customXml" ds:itemID="{678CE4CE-BD7F-4B52-92DA-BAD8EF648081}"/>
</file>

<file path=customXml/itemProps3.xml><?xml version="1.0" encoding="utf-8"?>
<ds:datastoreItem xmlns:ds="http://schemas.openxmlformats.org/officeDocument/2006/customXml" ds:itemID="{B47DEFEF-61D5-46F7-BCFC-1CB0318EA6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4714</Words>
  <Characters>27819</Characters>
  <Application>Microsoft Office Word</Application>
  <DocSecurity>0</DocSecurity>
  <Lines>231</Lines>
  <Paragraphs>64</Paragraphs>
  <ScaleCrop>false</ScaleCrop>
  <Company/>
  <LinksUpToDate>false</LinksUpToDate>
  <CharactersWithSpaces>32469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Kvasničková Veronika Ing.</dc:creator>
  <cp:keywords/>
  <dc:description/>
  <cp:lastModifiedBy>Kvasničková Veronika Ing.</cp:lastModifiedBy>
  <cp:revision>2</cp:revision>
  <dcterms:created xsi:type="dcterms:W3CDTF">2022-09-12T11:25:00Z</dcterms:created>
  <dcterms:modified xsi:type="dcterms:W3CDTF">2022-09-12T11:30:00Z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0x010100A31EF32B5FB6A04BADAC0E4E95C8C92C</vt:lpwstr>
  </property>
</Properties>
</file>